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C3" w:rsidRPr="00A475F3" w:rsidRDefault="002341C3" w:rsidP="002341C3">
      <w:pPr>
        <w:pStyle w:val="Title"/>
        <w:spacing w:before="0" w:after="0"/>
        <w:rPr>
          <w:color w:val="000000" w:themeColor="text1"/>
        </w:rPr>
      </w:pPr>
      <w:r w:rsidRPr="00A475F3">
        <w:rPr>
          <w:color w:val="000000" w:themeColor="text1"/>
        </w:rPr>
        <w:t>NGHỊ ĐỊNH</w:t>
      </w:r>
    </w:p>
    <w:p w:rsidR="002341C3" w:rsidRPr="00A475F3" w:rsidRDefault="002341C3" w:rsidP="002341C3">
      <w:pPr>
        <w:jc w:val="center"/>
        <w:rPr>
          <w:rFonts w:cs="Times New Roman"/>
          <w:b/>
          <w:bCs/>
          <w:color w:val="000000" w:themeColor="text1"/>
          <w:sz w:val="22"/>
          <w:szCs w:val="22"/>
        </w:rPr>
      </w:pPr>
      <w:r w:rsidRPr="00A475F3">
        <w:rPr>
          <w:rFonts w:cs="Times New Roman"/>
          <w:b/>
          <w:bCs/>
          <w:color w:val="000000" w:themeColor="text1"/>
          <w:sz w:val="22"/>
          <w:szCs w:val="22"/>
          <w:lang w:val="nl-NL"/>
        </w:rPr>
        <w:t xml:space="preserve">CỦA CHÍNH PHỦ </w:t>
      </w:r>
      <w:r w:rsidRPr="00A475F3">
        <w:rPr>
          <w:rFonts w:cs="Times New Roman"/>
          <w:b/>
          <w:color w:val="000000" w:themeColor="text1"/>
          <w:sz w:val="22"/>
          <w:szCs w:val="22"/>
          <w:lang w:val="nl-NL"/>
        </w:rPr>
        <w:t xml:space="preserve">SỐ </w:t>
      </w:r>
      <w:r w:rsidRPr="00A475F3">
        <w:rPr>
          <w:rFonts w:cs="Times New Roman"/>
          <w:b/>
          <w:bCs/>
          <w:color w:val="000000" w:themeColor="text1"/>
          <w:sz w:val="22"/>
          <w:szCs w:val="22"/>
          <w:lang w:val="nl-NL"/>
        </w:rPr>
        <w:t>103</w:t>
      </w:r>
      <w:r w:rsidRPr="00A475F3">
        <w:rPr>
          <w:rFonts w:cs="Times New Roman"/>
          <w:b/>
          <w:color w:val="000000" w:themeColor="text1"/>
          <w:sz w:val="22"/>
          <w:szCs w:val="22"/>
          <w:lang w:val="nl-NL"/>
        </w:rPr>
        <w:t>/2006/NĐ-CP NGÀY 22 THÁNG 9 NĂM 2006</w:t>
      </w:r>
      <w:r w:rsidRPr="00A475F3">
        <w:rPr>
          <w:rFonts w:cs="Times New Roman"/>
          <w:b/>
          <w:bCs/>
          <w:color w:val="000000" w:themeColor="text1"/>
          <w:sz w:val="22"/>
          <w:szCs w:val="22"/>
          <w:lang w:val="nl-NL"/>
        </w:rPr>
        <w:t xml:space="preserve"> </w:t>
      </w:r>
      <w:r w:rsidRPr="00A475F3">
        <w:rPr>
          <w:rFonts w:cs="Times New Roman"/>
          <w:b/>
          <w:bCs/>
          <w:color w:val="000000" w:themeColor="text1"/>
          <w:sz w:val="22"/>
          <w:szCs w:val="22"/>
        </w:rPr>
        <w:t xml:space="preserve"> </w:t>
      </w:r>
    </w:p>
    <w:p w:rsidR="002341C3" w:rsidRPr="00A475F3" w:rsidRDefault="002341C3" w:rsidP="002341C3">
      <w:pPr>
        <w:jc w:val="center"/>
        <w:rPr>
          <w:rFonts w:cs="Times New Roman"/>
          <w:b/>
          <w:color w:val="000000" w:themeColor="text1"/>
          <w:sz w:val="22"/>
          <w:szCs w:val="22"/>
          <w:lang w:val="nl-NL"/>
        </w:rPr>
      </w:pPr>
      <w:r w:rsidRPr="00A475F3">
        <w:rPr>
          <w:rFonts w:cs="Times New Roman"/>
          <w:b/>
          <w:bCs/>
          <w:color w:val="000000" w:themeColor="text1"/>
          <w:sz w:val="22"/>
          <w:szCs w:val="22"/>
          <w:lang w:val="nl-NL"/>
        </w:rPr>
        <w:t>QUY ĐỊNH CHI TIẾT VÀ HƯỚNG DẪN THI HÀNH</w:t>
      </w:r>
    </w:p>
    <w:p w:rsidR="002341C3" w:rsidRPr="00A475F3" w:rsidRDefault="002341C3" w:rsidP="002341C3">
      <w:pPr>
        <w:jc w:val="center"/>
        <w:rPr>
          <w:rFonts w:cs="Times New Roman"/>
          <w:b/>
          <w:color w:val="000000" w:themeColor="text1"/>
          <w:sz w:val="24"/>
          <w:szCs w:val="24"/>
          <w:lang w:val="nl-NL"/>
        </w:rPr>
      </w:pPr>
      <w:r w:rsidRPr="00A475F3">
        <w:rPr>
          <w:rFonts w:cs="Times New Roman"/>
          <w:b/>
          <w:bCs/>
          <w:color w:val="000000" w:themeColor="text1"/>
          <w:sz w:val="22"/>
          <w:szCs w:val="22"/>
          <w:lang w:val="nl-NL"/>
        </w:rPr>
        <w:t>MỘT SỐ ĐIỀU CỦA LUẬT SỞ HỮU TRÍ TUỆ VỀ SỞ HỮU CÔNG NGHIỆP</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jc w:val="center"/>
        <w:rPr>
          <w:rFonts w:cs="Times New Roman"/>
          <w:color w:val="000000" w:themeColor="text1"/>
          <w:sz w:val="24"/>
          <w:szCs w:val="24"/>
          <w:lang w:val="nl-NL"/>
        </w:rPr>
      </w:pPr>
      <w:r w:rsidRPr="00A475F3">
        <w:rPr>
          <w:rFonts w:cs="Times New Roman"/>
          <w:color w:val="000000" w:themeColor="text1"/>
          <w:sz w:val="24"/>
          <w:szCs w:val="24"/>
          <w:lang w:val="nl-NL"/>
        </w:rPr>
        <w:t> </w:t>
      </w:r>
    </w:p>
    <w:p w:rsidR="002341C3" w:rsidRPr="00A475F3" w:rsidRDefault="002341C3" w:rsidP="002341C3">
      <w:pPr>
        <w:pStyle w:val="Heading1"/>
        <w:rPr>
          <w:color w:val="000000" w:themeColor="text1"/>
        </w:rPr>
      </w:pPr>
      <w:r w:rsidRPr="00A475F3">
        <w:rPr>
          <w:color w:val="000000" w:themeColor="text1"/>
        </w:rPr>
        <w:t>CHÍNH PHỦ</w:t>
      </w:r>
    </w:p>
    <w:p w:rsidR="002341C3" w:rsidRPr="00A475F3" w:rsidRDefault="002341C3" w:rsidP="002341C3">
      <w:pPr>
        <w:rPr>
          <w:color w:val="000000" w:themeColor="text1"/>
          <w:lang w:val="nl-NL"/>
        </w:rPr>
      </w:pPr>
    </w:p>
    <w:p w:rsidR="002341C3" w:rsidRPr="00A475F3" w:rsidRDefault="002341C3" w:rsidP="002341C3">
      <w:pPr>
        <w:spacing w:before="95" w:after="95"/>
        <w:ind w:firstLine="720"/>
        <w:jc w:val="both"/>
        <w:rPr>
          <w:rFonts w:cs="Times New Roman"/>
          <w:i/>
          <w:color w:val="000000" w:themeColor="text1"/>
          <w:sz w:val="24"/>
          <w:szCs w:val="24"/>
          <w:lang w:val="nl-NL"/>
        </w:rPr>
      </w:pPr>
      <w:r w:rsidRPr="00A475F3">
        <w:rPr>
          <w:rFonts w:cs="Times New Roman"/>
          <w:i/>
          <w:color w:val="000000" w:themeColor="text1"/>
          <w:sz w:val="24"/>
          <w:szCs w:val="24"/>
          <w:lang w:val="nl-NL"/>
        </w:rPr>
        <w:t>Căn cứ Luật Tổ chức Chính phủ ngày 25 tháng 12 năm 2001;</w:t>
      </w:r>
    </w:p>
    <w:p w:rsidR="002341C3" w:rsidRPr="00A475F3" w:rsidRDefault="002341C3" w:rsidP="002341C3">
      <w:pPr>
        <w:spacing w:before="95" w:after="95"/>
        <w:ind w:firstLine="720"/>
        <w:jc w:val="both"/>
        <w:rPr>
          <w:rFonts w:cs="Times New Roman"/>
          <w:i/>
          <w:color w:val="000000" w:themeColor="text1"/>
          <w:sz w:val="24"/>
          <w:szCs w:val="24"/>
          <w:lang w:val="nl-NL"/>
        </w:rPr>
      </w:pPr>
      <w:r w:rsidRPr="00A475F3">
        <w:rPr>
          <w:rFonts w:cs="Times New Roman"/>
          <w:i/>
          <w:color w:val="000000" w:themeColor="text1"/>
          <w:sz w:val="24"/>
          <w:szCs w:val="24"/>
          <w:lang w:val="nl-NL"/>
        </w:rPr>
        <w:t>Căn cứ Bộ luật Dân sự ngày 14 tháng 6 năm 2005;</w:t>
      </w:r>
    </w:p>
    <w:p w:rsidR="002341C3" w:rsidRPr="00A475F3" w:rsidRDefault="002341C3" w:rsidP="002341C3">
      <w:pPr>
        <w:spacing w:before="95" w:after="95"/>
        <w:ind w:firstLine="720"/>
        <w:jc w:val="both"/>
        <w:rPr>
          <w:rFonts w:cs="Times New Roman"/>
          <w:i/>
          <w:color w:val="000000" w:themeColor="text1"/>
          <w:sz w:val="24"/>
          <w:szCs w:val="24"/>
          <w:lang w:val="nl-NL"/>
        </w:rPr>
      </w:pPr>
      <w:r w:rsidRPr="00A475F3">
        <w:rPr>
          <w:rFonts w:cs="Times New Roman"/>
          <w:i/>
          <w:color w:val="000000" w:themeColor="text1"/>
          <w:sz w:val="24"/>
          <w:szCs w:val="24"/>
          <w:lang w:val="nl-NL"/>
        </w:rPr>
        <w:t>Căn cứ Luật Sở hữu trí tuệ ngày 29 tháng 11 năm 2005;</w:t>
      </w:r>
    </w:p>
    <w:p w:rsidR="002341C3" w:rsidRPr="00A475F3" w:rsidRDefault="002341C3" w:rsidP="002341C3">
      <w:pPr>
        <w:spacing w:before="95" w:after="95"/>
        <w:ind w:firstLine="720"/>
        <w:jc w:val="both"/>
        <w:rPr>
          <w:rFonts w:cs="Times New Roman"/>
          <w:i/>
          <w:color w:val="000000" w:themeColor="text1"/>
          <w:sz w:val="24"/>
          <w:szCs w:val="24"/>
          <w:lang w:val="nl-NL"/>
        </w:rPr>
      </w:pPr>
      <w:r w:rsidRPr="00A475F3">
        <w:rPr>
          <w:rFonts w:cs="Times New Roman"/>
          <w:i/>
          <w:color w:val="000000" w:themeColor="text1"/>
          <w:sz w:val="24"/>
          <w:szCs w:val="24"/>
          <w:lang w:val="nl-NL"/>
        </w:rPr>
        <w:t>Xét đề nghị của Bộ trưởng Bộ Khoa học và Công nghệ,</w:t>
      </w:r>
    </w:p>
    <w:p w:rsidR="002341C3" w:rsidRPr="00A475F3" w:rsidRDefault="002341C3" w:rsidP="002341C3">
      <w:pPr>
        <w:spacing w:before="95" w:after="95"/>
        <w:jc w:val="both"/>
        <w:rPr>
          <w:rFonts w:cs="Times New Roman"/>
          <w:color w:val="000000" w:themeColor="text1"/>
          <w:sz w:val="24"/>
          <w:szCs w:val="24"/>
          <w:lang w:val="nl-NL"/>
        </w:rPr>
      </w:pPr>
      <w:r w:rsidRPr="00A475F3">
        <w:rPr>
          <w:rFonts w:cs="Times New Roman"/>
          <w:i/>
          <w:iCs/>
          <w:color w:val="000000" w:themeColor="text1"/>
          <w:sz w:val="24"/>
          <w:szCs w:val="24"/>
          <w:lang w:val="nl-NL"/>
        </w:rPr>
        <w:t> </w:t>
      </w:r>
    </w:p>
    <w:p w:rsidR="002341C3" w:rsidRPr="00A475F3" w:rsidRDefault="002341C3" w:rsidP="002341C3">
      <w:pPr>
        <w:spacing w:before="95" w:after="95"/>
        <w:jc w:val="center"/>
        <w:rPr>
          <w:rFonts w:cs="Times New Roman"/>
          <w:color w:val="000000" w:themeColor="text1"/>
          <w:sz w:val="24"/>
          <w:szCs w:val="24"/>
          <w:lang w:val="nl-NL"/>
        </w:rPr>
      </w:pPr>
      <w:r w:rsidRPr="00A475F3">
        <w:rPr>
          <w:rFonts w:cs="Times New Roman"/>
          <w:b/>
          <w:bCs/>
          <w:color w:val="000000" w:themeColor="text1"/>
          <w:sz w:val="24"/>
          <w:szCs w:val="24"/>
          <w:lang w:val="nl-NL"/>
        </w:rPr>
        <w:t>NGHỊ ĐỊNH :</w:t>
      </w:r>
    </w:p>
    <w:p w:rsidR="002341C3" w:rsidRPr="00A475F3" w:rsidRDefault="002341C3" w:rsidP="002341C3">
      <w:pPr>
        <w:spacing w:before="95" w:after="95"/>
        <w:jc w:val="center"/>
        <w:rPr>
          <w:rFonts w:cs="Times New Roman"/>
          <w:color w:val="000000" w:themeColor="text1"/>
          <w:sz w:val="24"/>
          <w:szCs w:val="24"/>
          <w:lang w:val="nl-NL"/>
        </w:rPr>
      </w:pPr>
      <w:r w:rsidRPr="00A475F3">
        <w:rPr>
          <w:rFonts w:cs="Times New Roman"/>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Chương I</w:t>
      </w:r>
    </w:p>
    <w:p w:rsidR="002341C3" w:rsidRPr="00A475F3" w:rsidRDefault="002341C3" w:rsidP="002341C3">
      <w:pPr>
        <w:spacing w:before="95" w:after="95"/>
        <w:jc w:val="center"/>
        <w:rPr>
          <w:rFonts w:cs="Times New Roman"/>
          <w:b/>
          <w:bCs/>
          <w:color w:val="000000" w:themeColor="text1"/>
          <w:sz w:val="24"/>
          <w:szCs w:val="24"/>
          <w:lang w:val="nl-NL"/>
        </w:rPr>
      </w:pPr>
      <w:r w:rsidRPr="00A475F3">
        <w:rPr>
          <w:rFonts w:cs="Times New Roman"/>
          <w:b/>
          <w:bCs/>
          <w:color w:val="000000" w:themeColor="text1"/>
          <w:sz w:val="24"/>
          <w:szCs w:val="24"/>
          <w:lang w:val="nl-NL"/>
        </w:rPr>
        <w:t>NHỮNG QUY ĐỊNH CHUNG</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1. Phạm vi điều chỉnh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Nghị định này quy định chi tiết và hướng dẫn thi hành các quy định của Luật Sở hữu trí tuệ về việc xác lập, chủ thể, nội dung, giới hạn quyền sở hữu công nghiệp, chuyển giao quyền sở hữu công nghiệp, đại diện sở hữu công nghiệp và các biện pháp thúc đẩy hoạt động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 Đối tượng áp dụng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Cá nhân, pháp nhân và các chủ thể khác của pháp luật dân sự (sau đây gọi chung là tổ chức, cá nhân).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2. Tổ chức, cá nhân nước ngoài đáp ứng các điều kiện hưởng sự bảo hộ quyền sở hữu công nghiệp tại Việt Nam theo các điều ước quốc tế mà Việt Nam là thành viên.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Các điều ước quốc tế quy định tại khoản này bao gồm: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Công ước Paris về bảo hộ sở hữu công nghiệp năm 1883, sửa đổi năm 1967 (sau đây gọi tắt là “Công ước Paris”);</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Hiệp định Thương mại Việt Nam - Hoa Kỳ năm 2000;</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Hiệp định về bảo hộ quyền sở hữu trí tuệ và hợp tác trong lĩnh vực sở hữu trí tuệ Việt Nam - Thụy Sĩ năm 1999;</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d) Hiệp định về các khía cạnh liên quan đến thương mại của quyền sở hữu trí tuệ (Hiệp định TRIPS) năm 1994, kể từ thời điểm Việt Nam trở thành thành viên của Tổ chức Thương mại thế giới;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đ) Các điều ước quốc tế khác liên quan đến việc bảo hộ quyền sở hữu công nghiệp mà Việt Nam là thành viên.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3. Trách nhiệm quản lý nhà nước về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Bộ Khoa học và Công nghệ có trách nhiệm sau đây trong quản lý nhà nước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a) Xây dựng, tổ chức thực hiện chiến lược, chính sách bảo hộ quyền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Ban hành, trình cấp có thẩm quyền ban hành, tổ chức thực hiện các văn bản pháp luật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Tổ chức hệ thống cơ quan thực hiện chức năng quản lý nhà nước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d) Hướng dẫn nghiệp vụ, tổ chức đào tạo, bồi dưỡng chuyên môn, nghiệp vụ về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đ) Tổ chức thực hiện xác lập quyền sở hữu công nghiệp, đăng ký hợp đồng chuyển giao quyền sở hữu công nghiệp và thực hiện các thủ tục khác liên quan đến Văn bằng bảo hộ quyền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e) Thực hiện quyền bắt buộc chuyển giao quyền sử dụng sáng chế theo quy định tại Điều 147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g) Chủ trì hoặc phối hợp thực hiện các biện pháp bảo vệ quyền, lợi ích hợp pháp của tổ chức, cá nhân, Nhà nước và xã hội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h) Quản lý hoạt động giám định sở hữu công nghiệp; cấp Thẻ giám định viên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i) Kiểm tra, thanh tra việc chấp hành pháp luật về sở hữu công nghiệp; giải quyết khiếu nại, tố cáo và xử lý vi phạm pháp luật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k) Tổ chức hoạt động thông tin, thống kê về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l) Tổ chức thực hiện giáo dục, tuyên truyền, phổ biến kiến thức, chính sách, pháp luật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m) Chủ trì, phối hợp với Bộ Giáo dục và Đào tạo, Bộ Tư pháp xây dựng chương trình đào tạo, tổ chức đào tạo, bồi dưỡng kiến thức, pháp luật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n) Quản lý hoạt động đại diện sở hữu công nghiệp; cấp Chứng chỉ hành nghề dịch vụ 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o) Hợp tác quốc tế về sở hữu công nghiệp; đề xuất xử lý các vấn đề tranh chấp giữa Việt Nam và các quốc gia khác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Cục Sở hữu trí tuệ là cơ quan thuộc Bộ Khoa học và Công nghệ, có trách nhiệm giúp Bộ trưởng Bộ Khoa học và Công nghệ thực hiện chức năng quản lý nhà nước về sở hữu công nghiệp. Bộ trưởng Bộ Khoa học và Công nghệ quy định cụ thể chức năng, nhiệm vụ và quyền hạn của Cục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Ủy ban nhân dân các tỉnh, thành phố trực thuộc Trung ương có trách nhiệm sau đây trong quản lý nhà nước về sở hữu công nghiệp tại địa phương: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a) Tổ chức thực hiện chính sách, pháp luật về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w:t>
      </w:r>
      <w:r w:rsidRPr="00A475F3">
        <w:rPr>
          <w:rFonts w:cs="Times New Roman"/>
          <w:i/>
          <w:iCs/>
          <w:color w:val="000000" w:themeColor="text1"/>
          <w:sz w:val="24"/>
          <w:szCs w:val="24"/>
          <w:lang w:val="nl-NL"/>
        </w:rPr>
        <w:t xml:space="preserve"> </w:t>
      </w:r>
      <w:r w:rsidRPr="00A475F3">
        <w:rPr>
          <w:rFonts w:cs="Times New Roman"/>
          <w:color w:val="000000" w:themeColor="text1"/>
          <w:sz w:val="24"/>
          <w:szCs w:val="24"/>
          <w:lang w:val="nl-NL"/>
        </w:rPr>
        <w:t>Xây dựng, ban hành và tổ chức thực hiện quy định của địa phương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Tổ chức hệ thống quản lý hoạt động sở hữu công nghiệp tại địa phương và thực hiện các biện pháp nhằm tăng cường hiệu quả của hệ thống đó;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d) Tổ chức tuyên truyền, phổ biến kiến thức, chính sách, pháp luật về sở hữu công nghiệp, thực hiện các biện pháp đẩy mạnh hoạt động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đ) Hướng dẫn, hỗ trợ các tổ chức, cá nhân tiến hành các thủ tục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e) Phối hợp với các cơ quan liên quan trong hoạt động bảo vệ quyền sở hữu công nghiệp và xử lý vi phạm pháp luật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g) Kiểm tra, thanh tra việc chấp hành pháp luật về sở hữu công nghiệp, giải quyết khiếu nại, tố cáo về sở hữu công nghiệp tại địa phương;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h</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 xml:space="preserve">Quản lý chỉ dẫn địa lý thuộc địa phương;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i) Hợp tác quốc tế về sở hữu công nghiệp tại địa phương.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Sở Khoa học và Công nghệ là cơ quan thuộc Ủy ban nhân dân tỉnh, thành phố trực thuộc Trung ương có trách nhiệm giúp Ủy ban nhân dân thực hiện chức năng quản lý nhà nước về sở hữu công nghiệp tại địa phương. Ủy ban nhân dân tỉnh, thành phố trực thuộc Trung ương quy định cụ thể chức năng, nhiệm vụ và quyền hạn của Sở Khoa học và Công nghệ.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Các Bộ, cơ quan ngang Bộ, cơ quan thuộc Chính phủ có trách nhiệm tổ chức, chỉ đạo việc thực hiện pháp luật về sở hữu công nghiệp và quản lý các đối tượng sở hữu công nghiệp do cơ quan mình quản lý.</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4. Cách tính thời hạn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Cách tính thời hạn trong hoạt động sở hữu công nghiệp được thực hiện theo quy định về thời hạn tại Chương VIII, Phần thứ nhất của Bộ luật Dân sự.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5. Phí, lệ phí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Bộ Tài chính chủ trì, phối hợp với Bộ Khoa học và Công nghệ quy định và hướng dẫn thi hành chế độ thu, nộp, quản lý và sử dụng phí, lệ phí về sở hữu công nghiệp.</w:t>
      </w:r>
    </w:p>
    <w:p w:rsidR="002341C3" w:rsidRPr="00A475F3" w:rsidRDefault="002341C3" w:rsidP="002341C3">
      <w:pPr>
        <w:spacing w:before="95" w:after="95"/>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Chương II</w:t>
      </w:r>
    </w:p>
    <w:p w:rsidR="002341C3" w:rsidRPr="00A475F3" w:rsidRDefault="002341C3" w:rsidP="002341C3">
      <w:pPr>
        <w:spacing w:before="95" w:after="95"/>
        <w:jc w:val="center"/>
        <w:rPr>
          <w:rFonts w:cs="Times New Roman"/>
          <w:b/>
          <w:bCs/>
          <w:color w:val="000000" w:themeColor="text1"/>
          <w:sz w:val="24"/>
          <w:szCs w:val="24"/>
          <w:lang w:val="nl-NL"/>
        </w:rPr>
      </w:pPr>
      <w:r w:rsidRPr="00A475F3">
        <w:rPr>
          <w:rFonts w:cs="Times New Roman"/>
          <w:b/>
          <w:bCs/>
          <w:color w:val="000000" w:themeColor="text1"/>
          <w:sz w:val="24"/>
          <w:szCs w:val="24"/>
          <w:lang w:val="nl-NL"/>
        </w:rPr>
        <w:t>XÁC LẬP QUYỀN SỞ HỮU CÔNG NGHIỆP</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6. Căn cứ, thủ tục xác lập quyền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Quyền sở hữu công nghiệp đối với sáng chế, thiết kế bố trí, kiểu dáng công nghiệp, nhãn hiệu và chỉ dẫn địa lý được xác lập trên cơ sở quyết định của cơ quan quản lý nhà nước về sở hữu công nghiệp</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cấp Văn bằng bảo hộ cho người nộp đơn đăng ký các đối tượng đó theo quy định tại Chương VII, Chương VIII và Chương IX của Luật Sở hữu trí tuệ. Quyền sở hữu công nghiệp đối với nhãn hiệu đăng ký quốc tế theo Thỏa ước Madrid và Nghị định thư Madrid được xác lập trên cơ sở công nhận của cơ quan quản lý nhà nước đối với đăng ký quốc tế đó.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Quyền sở hữu công nghiệp đối với nhãn hiệu nổi tiếng được xác lập trên cơ sở thực tiễn sử dụng rộng rãi nhãn hiệu đó theo quy định tại Điều 75 của Luật Sở hữu trí tuệ mà không cần thực hiện thủ tục đăng ký.</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3. Quyền sở hữu công nghiệp đối với tên thương mại được xác lập trên cơ sở thực tiễn sử dụng hợp pháp tên thương mại đó tương ứng với khu vực (lãnh thổ) và lĩnh vực kinh doanh mà không cần thực hiện thủ tục đăng ký.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Quyền sở hữu công nghiệp đối với bí mật kinh doanh được xác lập trên cơ sở đầu tư tài chính, trí tuệ hay bất kỳ cách thức hợp pháp nào để tìm ra, tạo ra hoặc đạt được thông tin và bảo mật thông tin tạo thành bí mật kinh doanh đó mà không cần thực hiện thủ tục đăng ký.</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5. Bộ Khoa học và Công nghệ quy định chi tiết về hình thức, nội dung các loại đơn đăng ký sở hữu công nghiệp quy định tại các Điều 100, 101, 102, 103, 104, 105, 106, 107 của Luật Sở hữu trí tuệ, hướng dẫn trình tự, thủ tục xử lý đơn, ban hành mẫu Văn bằng bảo hộ, Sổ đăng ký quốc gia về sở hữu công nghiệp và quy định hình thức, nội dung Công báo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7. Quyền đăng ký sở hữu công nghiệp theo các điều ước quốc tế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Tổ chức, cá nhân nước ngoài đáp ứng các điều kiện để được bảo hộ quyền sở hữu công nghiệp tại Việt Nam quy định tại Điều 2 Nghị định này có thể nộp đơn đăng ký sở hữu công nghiệp tại Việt Nam theo các điều ước về hoặc liên quan đến thủ tục nộp đơn quốc tế.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Các điều ước quốc tế quy định tại khoản này bao gồm: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a) Hiệp ước hợp tác quốc tế về Bằng sáng chế năm 1970, được sửa đổi năm 1984 (sau đây gọi tắt là “Hiệp ước PCT”);</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Thoả ước Madrid về đăng ký quốc tế nhãn hiệu năm 1891, được sửa đổi năm 1979 (sau đây gọi tắt là “Thoả ước Madrid”) và Nghị định thư liên quan đến Thoả ước Madrid năm 1989 (sau đây gọi tắt là “Nghị định thư Madrid”);</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c) Các điều ước quốc tế khác về hoặc liên quan đến thủ tục nộp đơn quốc tế mà Việt Nam là thành viên, kể từ thời điểm điều ước quốc tế bắt đầu có hiệu lực đối với Việt Nam.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Tổ chức, cá nhân Việt Nam có thể nộp đơn đăng ký quốc tế sở hữu công nghiệp để yêu cầu bảo hộ quyền của mình tại Việt Nam nếu điều ước quốc tế có quy định.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8. Quyền đăng ký chỉ dẫn địa lý của nước ngoài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Cá nhân, tổ chức nước ngoài là chủ thể quyền đối với chỉ dẫn địa lý theo quy định pháp luật của nước xuất xứ có quyền đăng ký chỉ dẫn địa lý đó tại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9. Quyền đăng ký sáng chế, kiểu dáng công nghiệp, thiết kế bố trí của Nhà nước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Trong trường hợp sáng chế, kiểu dáng công nghiệp, thiết kế bố trí được tạo ra trên cơ sở Nhà nước đầu tư toàn bộ kinh phí, phương tiện vật chất - kỹ thuật, quyền đăng ký sáng chế, kiểu dáng công nghiệp, thiết kế bố trí thuộc về Nhà nước. Tổ chức, cơ quan nhà nước được giao quyền chủ đầu tư có trách nhiệm đại diện Nhà nước thực hiện quyền đăng ký nói trên.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Trong trường hợp sáng chế, kiểu dáng công nghiệp, thiết kế bố trí được tạo ra trên cơ sở Nhà nước góp vốn (kinh phí, phương tiện vật chất - kỹ thuật), một phần quyền đăng ký sáng chế, kiểu dáng công nghiệp, thiết kế bố trí tương ứng với tỷ lệ góp vốn thuộc về Nhà nước. Tổ chức, cơ quan nhà nước là chủ phần vốn đầu tư của Nhà nước có trách nhiệm đại diện Nhà nước thực hiện phần quyền đăng ký nói trên.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Trong trường hợp sáng chế, kiểu dáng công nghiệp, thiết kế bố trí được tạo ra trên cơ sở hợp tác nghiên cứu - phát triển giữa tổ chức, cơ quan nhà nước với tổ chức, cá nhân khác, nếu trong thoả thuận hợp tác nghiên cứu - phát triển không có quy định khác thì một phần quyền đăng ký sáng chế, kiểu dáng công nghiệp, thiết kế bố trí tương ứng với tỷ lệ đóng góp của tổ chức, cơ quan nhà nước trong việc hợp tác đó, thuộc về Nhà nước. Tổ chức, cơ quan nhà nước tham gia hợp tác nghiên cứu - phát triển có trách nhiệm đại diện Nhà nước thực hiện quyền đăng ký nói trên.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Tổ chức, cơ quan nhà nước thực hiện quyền đăng ký sáng chế, kiểu dáng công nghiệp, thiết kế bố trí quy định tại khoản 1, khoản 2 và khoản 3 Điều này đại diện nhà nước đứng tên chủ Văn bằng bảo hộ và thực hiện việc quản lý quyền sở hữu</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công nghiệp đối với</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các đối tượng đó, có quyền chuyển nhượng phần quyền đăng ký sáng chế, kiểu dáng công nghiệp, thiết kế bố trí của Nhà nước cho tổ chức, cá nhân khác với điều kiện tổ chức, cá nhân nhận chuyển nhượng phần quyền đăng ký phải trả cho Nhà nước một khoản tiền hoặc các điều kiện thương mại hợp lý khác so với tiềm năng thương mại của sáng chế, kiểu dáng công nghiệp, thiết kế bố trí đó.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10. Quyền ưu tiên của đơn đăng ký sáng chế, kiểu dáng công nghiệp, nhãn hiệu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Quyền ưu tiên đối với đơn đăng ký sáng chế, kiểu dáng công nghiệp, nhãn hiệu quy định tại Điều 91 của Luật Sở hữu trí tuệ được áp dụng như sau:</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Trong trường hợp người nộp đơn đăng ký sáng chế, kiểu dáng công nghiệp, nhãn hiệu muốn hưởng quyền ưu tiên theo quy định của Công ước Paris, yêu cầu hưởng quyền ưu tiên của người nộp đơn sẽ được chấp nhận nếu đáp ứng các điều kiện sau đây: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a) Người nộp đơn là công dân Việt Nam hoặc công dân của nước Thành viên của Công ước Paris hoặc cư trú, có cơ sở sản xuất, kinh doanh tại Việt Nam hoặc tại nước Thành viên Công ước đó;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 xml:space="preserve">b) Đơn đầu tiên đã được nộp tại Việt Nam hoặc tại nước Thành viên của Công ước Paris và đơn đó có chứa phần tương ứng với yêu cầu hưởng quyền ưu tiên của đơn đăng ký sáng chế, kiểu dáng công nghiệp, nhãn hiệu;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c) Đơn đăng ký được nộp trong thời hạn sau đây kể từ ngày nộp đơn đầu tiên: sáu tháng đối với đơn đăng ký kiểu dáng công nghiệp hoặc đơn đăng ký nhãn hiệu, mười hai tháng đối với đơn đăng ký sáng chế;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d) Trong đơn đăng ký sáng chế, kiểu dáng công nghiệp, nhãn hiệu, người nộp đơn có nêu rõ yêu cầu hưởng quyền ưu tiên và có nộp bản sao đơn đầu tiên nêu tại điểm b khoản này trong trường hợp nộp tại nước ngoài, trong đó có xác nhận của Cơ quan nhận đơn đầu tiên;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đ) Nộp đủ lệ phí yêu cầu hưởng quyền ưu tiên.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Trong trường hợp người nộp đơn đăng ký sáng chế, kiểu dáng công nghiệp, nhãn hiệu muốn hưởng quyền ưu tiên theo điều ước quốc tế khác, yêu cầu hưởng quyền ưu tiên sẽ được chấp nhận nếu đáp ứng các điều kiện về quyền ưu tiên quy định trong điều ước đó.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11. Đơn quốc tế về sáng chế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Trong Điều này, “Đơn PCT” được hiểu là Đơn đăng ký sáng chế nộp theo Hiệp ước PCT, bao gồm: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Đơn có yêu cầu bảo hộ tại Việt Nam, được nộp tại bất kỳ nước Thành viên nào của Hiệp ước PCT, kể cả Việt Nam (sau đây gọi là Đơn PCT có chỉ định hoặc có chọn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Đơn được nộp tại Việt Nam, trong đó có yêu cầu bảo hộ tại bất kỳ nước thành viên nào của Hiệp ước PCT, kể cả Việt Nam (sau đây gọi là Đơn PCT có nguồn gốc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Cơ quan quản lý nhà nước về sở hữu công nghiệp xem xét Đơn PCT có chọn hoặc có chỉ định Việt Nam khi có đủ các điều kiện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Người nộp đơn tiến hành các thủ tục đăng ký sáng chế tại cơ quan quản lý nhà nước về sở hữu công nghiệp của Việt Nam (Giai đoạn quốc gia) theo quy định của Hiệp ước PCT trong thời hạn ba mươi mốt tháng kể từ ngày nộp đơn quốc tế hoặc kể từ ngày ưu tiên (nếu đơn có yêu cầu hưởng quyền ưu tiên);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Nộp phí, lệ phí về sở hữu công nghiệp theo quy định của pháp luật.</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Đơn PCT có nguồn gốc Việt Nam phải được làm bằng tiếng Anh hoặc tiếng Nga và phải đáp ứng các yêu cầu về hình thức và nội dung quy định tại Hiệp ước PCT. Người nộp đơn có thể nộp đơn cho cơ quan quản lý nhà nước về sở hữu công nghiệp hoặc cho Văn phòng quốc tế của Tổ chức Sở hữu trí tuệ thế giới (WIPO).</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Bộ Khoa học và Công nghệ quy định chi tiết hình thức, nội dung, trình tự, thủ tục xử lý đơn PCT từ các quốc gia khác có chỉ định hoặc có chọn Việt Nam, Đơn PCT có nguồn gốc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12. Đơn quốc tế về nhãn hiệu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Trong Điều này, “Đơn Madrid” được hiểu là đơn đăng ký quốc tế nhãn hiệu nộp theo Thoả ước Madrid hoặc theo Nghị định thư Madrid, bao gồm: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Đơn yêu cầu bảo hộ nhãn hiệu tại Việt Nam, có nguồn gốc từ các nước Thành viên khác của Thoả ước Madrid hoặc Nghị định thư Madrid, sau đây gọi là Đơn Madrid có chỉ định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Đơn yêu cầu bảo hộ nhãn hiệu tại các nước Thành viên khác của Thoả ước Madrid hoặc Nghị định thư Madrid, nộp tại Việt Nam, sau đây gọi là Đơn Madrid có nguồn gốc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Sau khi được Văn phòng quốc tế của Tổ chức Sở hữu trí tuệ thế giới (WIPO) công bố, Đơn Madrid có chỉ định Việt Nam được thẩm định nội dung như đối với đơn đăng ký nhãn hiệu nộp theo thể thức quốc gia.</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Đối với nhãn hiệu được chấp nhận bảo hộ, cơ quan quản lý nhà nước về sở hữu công nghiệp ra Quyết định chấp nhận bảo hộ nhãn hiệu đăng ký quốc tế và công bố trên Công báo sở hữu công nghiệp. Trong trường hợp có yêu cầu của chủ sở hữu thì cơ quan quản lý nhà nước về sở hữu công nghiệp cấp Giấy chứng nhận nhãn hiệu đăng ký quốc tế được bảo hộ tại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Tổ chức, cá nhân Việt Nam có thể thực hiện quyền đăng ký quốc tế nhãn hiệu theo Thoả ước Madrid hoặc theo Nghị định thư Madrid theo quy định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Nộp đơn theo Thoả ước Madrid nếu yêu cầu bảo hộ tại nước thành viên của Thỏa ước Madrid, với điều kiện đã được cấp văn bằng bảo hộ nhãn hiệu tại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Nộp đơn theo Nghị định thư Madrid nếu yêu cầu bảo hộ tại nước thành viên của Nghị định thư Madrid mà không phải là thành viên của Thỏa ước Madrid, với điều kiện đã nộp đơn đăng ký nhãn hiệu tại Việt Nam.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Đối với Đơn Madrid có nguồn gốc Việt Nam, cơ quan quản lý nhà nước về sở hữu công nghiệp là cơ quan nhận đơn.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5. Bộ Khoa học và Công nghệ quy định chi tiết hình thức, nội dung, trình tự, thủ tục xử lý Đơn Madrid.</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13. Xác lập quyền sở hữu công nghiệp trên cơ sở các điều ước quốc tế về việc thừa nhận bảo hộ lẫn nhau</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Trong trường hợp điều ước quốc tế liên quan đến sở hữu công nghiệp mà Việt Nam là thành viên có quy định về thừa nhận, bảo hộ quyền sở hữu công nghiệp của tổ chức, cá nhân của các thành viên thì quyền sở hữu công nghiệp của tổ chức, cá nhân của các thành viên khác được thừa nhận, bảo hộ tại Việt Nam.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Quyền sở hữu công nghiệp được bảo hộ trong phạm vi, thời hạn phù hợp với quy định của điều ước quốc tế và không phải thực hiện thủ tục đăng ký theo quy định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Bộ Khoa học và Công nghệ công bố mọi thông tin cần thiết liên quan đến quyền sở hữu công nghiệp được thừa nhận, bảo hộ tại Việt Nam theo điều ước quốc tế.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14. Khiếu nại và giải quyết khiếu nại liên quan đến việc đăng ký quyền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Người nộp đơn và mọi tổ chức, cá nhân có quyền, lợi ích liên quan trực tiếp đến quyết định hoặc thông báo liên quan đến việc xử lý đơn đăng ký sở hữu công nghiệp do cơ quan quản lý nhà nước về sở hữu công nghiệp ban hành có quyền khiếu nại với cơ quan quản lý nhà nước về sở hữu công nghiệp hoặc khởi kiện ra toà án theo quy định của Luật Sở hữu trí tuệ và pháp luật có liên quan. Thời hạn giải quyết khiếu nại theo quy định tại khoản 5 Điều này.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Nếu hết thời hạn giải quyết khiếu nại của cấp trực tiếp ra quyết định hoặc thông báo liên quan đến sở hữu công nghiệp (khiếu nại lần thứ nhất) mà khiếu nại không được giải quyết hoặc nếu không đồng ý với quyết định giải quyết khiếu nại của cơ quan này thì người khiếu nại, người có quyền, lợi ích liên quan trực tiếp đến quyết định đó có quyền khiếu nại với Bộ trưởng Bộ Khoa học và Công nghệ (khiếu nại lần thứ hai) hoặc khởi kiện tại toà án. Nếu hết thời hạn giải quyết khiếu nại lần thứ hai nêu tại khoản 5 Điều này hoặc nếu không đồng ý với quyết định giải quyết khiếu nại của Bộ trưởng Bộ Khoa học và Công nghệ thì người khiếu nại, người có quyền, lợi ích liên quan trực tiếp đến quyết định đó có quyền khởi kiện tại</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toà án.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Nội dung khiếu nại phải được thể hiện bằng đơn khiếu nại, trong đó phải nêu rõ họ và tên, địa chỉ của người khiếu nại; số, ngày ký, nội dung thông báo hoặc quyết định bị khiếu nại; nội dung khiếu nại, lập luận, dẫn chứng chứng minh cho khiếu nại; đề nghị cụ thể về việc sửa chữa hoặc hủy bỏ thông báo hoặc quyết định liên quan.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4. Quyền khiếu nại chỉ được thực hiện trong thời hiệu sau đây, không kể thời gian có trở ngại khách quan khiến người khiếu nại không thể thực hiện được quyền khiếu nại: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a) Thời hiệu khiếu nại lần đầu là chín mươi ngày, kể từ ngày người có quyền khiếu nại nhận được hoặc biết được quyết định hoặc thông báo về việc xử lý đơn đăng ký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Thời hiệu khiếu nại lần thứ hai là ba mươi ngày, kể từ ngày hết thời hạn giải quyết khiếu nại lần đầu quy định tại khoản 5 Điều này mà khiếu nại đó không được giải quyết hoặc tính từ ngày người có quyền khiếu nại nhận được hoặc biết được quyết định giải quyết khiếu  nại lần đầu.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5. Trong thời hạn mười</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 xml:space="preserve">ngày, kể từ ngày nhận đơn khiếu nại liên quan đến việc cấp, sửa đổi, chấm dứt, huỷ bỏ, gia hạn hiệu lực của Văn bằng bảo hộ, người có thẩm quyền giải quyết khiếu nại phải ra thông báo thụ lý hoặc từ chối thụ lý đơn khiếu nại, trong đó nêu rõ lý do từ chối.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Thời hạn giải quyết khiếu nại theo quy định của pháp luật về khiếu nại.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Thời gian sửa đổi, bổ sung hồ sơ khiếu nại không tính vào thời hạn giải quyết khiếu nại.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6. Trình tự, thủ tục giải quyết khiếu nại thực hiện theo quy định của pháp luật về khiếu nại. </w:t>
      </w:r>
    </w:p>
    <w:p w:rsidR="002341C3" w:rsidRPr="00A475F3" w:rsidRDefault="002341C3" w:rsidP="002341C3">
      <w:pPr>
        <w:spacing w:before="95" w:after="95"/>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Chương III</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CHỦ THỂ, NỘI DUNG, GIỚI HẠN QUYỀN SỞ HỮU CÔNG NGHIỆP</w:t>
      </w:r>
    </w:p>
    <w:p w:rsidR="002341C3" w:rsidRPr="00A475F3" w:rsidRDefault="002341C3" w:rsidP="002341C3">
      <w:pPr>
        <w:spacing w:before="95" w:after="95"/>
        <w:jc w:val="center"/>
        <w:outlineLvl w:val="4"/>
        <w:rPr>
          <w:rFonts w:cs="Times New Roman"/>
          <w:b/>
          <w:bCs/>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15. Chủ thể quyền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Chủ thể quyền sở hữu công nghiệp bao gồm tổ chức, cá nhân sở hữu các đối tượng sở hữu công nghiệp quy định tại Điều 121 của Luật Sở hữu trí tuệ hoặc tổ chức, cá nhân được chủ sở hữu chuyển giao quyền sở hữu công nghiệp, tác giả sáng chế, kiểu dáng công nghiệp, thiết kế bố trí quy định tại Điều 122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Trong trường hợp văn bằng bảo hộ đối với sáng chế, kiểu dáng công nghiệp, thiết kế bố trí, nhãn hiệu được cấp chung cho nhiều tổ chức, cá nhân theo quy định tại khoản 3 Điều 86, khoản 5 Điều 87 và khoản 2 Điều 90 của Luật Sở hữu trí tuệ thì quyền sở hữu công nghiệp thuộc sở hữu chung của các tổ chức, cá nhân đó. Các chủ sở hữu chung thực hiện quyền sở hữu theo quy định của pháp luật dân sự.</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16. Phạm vi quyền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Phạm vi quyền sở hữu công nghiệp đối với sáng chế, kiểu dáng công nghiệp, thiết kế bố trí, nhãn hiệu, chỉ dẫn địa lý được xác định theo phạm vi bảo hộ được ghi nhận trong Văn bằng bảo hộ.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2. Phạm vi quyền đối với tên thương mại được xác định theo phạm vi bảo hộ tên thương mại, gồm tên thương mại, lĩnh vực kinh doanh và lãnh thổ kinh doanh trong đó tên thương mại được chủ thể mang tên thương mại sử dụng một cách hợp pháp. Việc đăng ký tên gọi của tổ chức, cá nhân kinh doanh trong thủ tục kinh doanh không được coi là sử dụng tên gọi đó mà chỉ là một điều kiện để việc sử dụng tên gọi đó được coi là hợp pháp.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Phạm vi quyền đối với bí mật kinh doanh được xác định theo phạm vi bảo hộ bí mật kinh doanh, gồm tập hợp các thông tin tạo thành bí mật kinh doanh, được sắp xếp theo một trật tự chính xác và đầy đủ đến mức có thể khai thác được.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Các chủ thể quyền sở hữu công nghiệp được hưởng các quyền và thực hiện các nghĩa vụ theo phạm vi bảo hộ với các điều kiện quy định tại các Điều 132, 133, 134, 135, 136, 137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lastRenderedPageBreak/>
        <w:t>Điều 17. Tôn trọng quyền được xác lập trước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Quyền sở hữu công nghiệp có thể bị huỷ bỏ hiệu lực hoặc bị cấm sử dụng nếu xung đột với quyền sở hữu trí tuệ của tổ chức, cá nhân khác được xác lập trước.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Bộ Kế hoạch và Đầu tư chủ trì, phối hợp với Bộ Khoa học và Công nghệ hướng dẫn việc đặt tên doanh nghiệp trong thủ tục đăng ký kinh doanh để bảo đảm không xâm phạm quyền đối với nhãn hiệu, tên thương mại, chỉ dẫn địa lý đã được bảo hộ trước.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18. Quyền của tác giả sáng chế, kiểu dáng công nghiệp, thiết kế bố trí</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Quyền nhân thân của tác giả quy định tại khoản 2 Điều 122 của Luật Sở hữu trí tuệ được bảo hộ vô thời hạn.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2. Quyền nhận thù lao của tác giả quy định tại khoản 3 Điều 122 của Luật Sở hữu trí tuệ được bảo hộ trong suốt thời hạn bảo hộ sáng chế, kiểu dáng công nghiệp, thiết kế bố trí.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Nếu giữa chủ sở hữu và tác giả không có thoả thuận khác, việc thanh toán tiền thù lao phải được thực hiện không muộn hơn ba mươi ngày, kể từ ngày chủ sở hữu nhận được tiền thanh toán do chuyển giao quyền sử dụng hoặc kể từ ngày chủ sở hữu thu được lợi sau mỗi đợt sử dụng sáng chế, kiểu dáng công nghiệp, thiết kế bố trí; nếu sáng chế, kiểu dáng công nghiệp, thiết kế bố trí được sử dụng liên tục thì mỗi đợt thanh toán không được quá sáu tháng, kể từ ngày kết thúc đợt thanh toán trước.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Bộ Tài chính phối hợp với Bộ Khoa học và Công nghệ quy định chi tiết và hướng dẫn cách xác định tiền làm lợi do sử dụng sáng chế, kiểu dáng công nghiệp, thiết kế bố trí.</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19. Thực hiện quyền sở hữu của Nhà nước đối với chỉ dẫn địa lý</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1. Cơ quan, tổ chức có quyền quản lý chỉ dẫn địa lý quy định tại khoản 4 Điều 121 của Luật Sở hữu trí tuệ bao gồm: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a) Ủy ban nhân dân tỉnh, thành phố trực thuộc Trung ương nơi có khu vực địa lý tương ứng với chỉ dẫn địa lý trong trường hợp chỉ dẫn địa lý thuộc một địa phương;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b) Ủy ban nhân dân tỉnh, thành phố trực thuộc Trung ương là đại diện theo uỷ quyền của các Ủy ban nhân dân tỉnh, thành phố trực thuộc trung ương khác nơi có khu vực địa lý tương ứng với chỉ dẫn địa lý trong trường hợp chỉ dẫn địa lý thuộc nhiều địa phương;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c) Cơ quan, tổ chức được Ủy ban nhân dân các tỉnh, thành phố trực thuộc Trung ương trao quyền quản lý chỉ dẫn địa lý với điều kiện cơ quan, tổ chức đó đại diện cho quyền lợi của tất cả các tổ chức, cá nhân được trao quyền sử dụng chỉ dẫn địa lý theo quy định tại khoản 4 Điều 121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2. Tổ chức quản lý chỉ dẫn địa lý được phép thực hiện quyền của chủ sở hữu đối với chỉ dẫn địa lý quy định tại khoản 2 Điều 123, Điều 198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3</w:t>
      </w:r>
      <w:r w:rsidRPr="00A475F3">
        <w:rPr>
          <w:rFonts w:cs="Times New Roman"/>
          <w:color w:val="000000" w:themeColor="text1"/>
          <w:sz w:val="24"/>
          <w:szCs w:val="24"/>
          <w:lang w:val="nl-NL"/>
        </w:rPr>
        <w:t xml:space="preserve">. Bộ Nông nghiệp và Phát triển nông thôn, Bộ Thuỷ sản, Bộ Công nghiệp chủ trì, phối hợp với Ủy ban nhân dân các tỉnh, thành phố trực thuộc Trung ương xác định các loại đặc sản, các đặc tính của sản phẩm, quy trình sản xuất của các đặc sản mang chỉ dẫn địa lý thuộc phạm vi quản lý của bộ, ngành, </w:t>
      </w:r>
      <w:r w:rsidRPr="00A475F3">
        <w:rPr>
          <w:rFonts w:cs="Times New Roman"/>
          <w:snapToGrid w:val="0"/>
          <w:color w:val="000000" w:themeColor="text1"/>
          <w:sz w:val="24"/>
          <w:szCs w:val="24"/>
          <w:lang w:val="nl-NL"/>
        </w:rPr>
        <w:t>địa phương</w:t>
      </w:r>
      <w:r w:rsidRPr="00A475F3">
        <w:rPr>
          <w:rFonts w:cs="Times New Roman"/>
          <w:color w:val="000000" w:themeColor="text1"/>
          <w:sz w:val="24"/>
          <w:szCs w:val="24"/>
          <w:lang w:val="nl-NL"/>
        </w:rPr>
        <w:t>.</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snapToGrid w:val="0"/>
          <w:color w:val="000000" w:themeColor="text1"/>
          <w:sz w:val="24"/>
          <w:szCs w:val="24"/>
          <w:lang w:val="nl-NL"/>
        </w:rPr>
        <w:t>4</w:t>
      </w:r>
      <w:r w:rsidRPr="00A475F3">
        <w:rPr>
          <w:rFonts w:cs="Times New Roman"/>
          <w:color w:val="000000" w:themeColor="text1"/>
          <w:sz w:val="24"/>
          <w:szCs w:val="24"/>
          <w:lang w:val="nl-NL"/>
        </w:rPr>
        <w:t xml:space="preserve">. Ủy ban nhân dân các tỉnh, thành phố trực thuộc Trung ương tiến hành đăng ký và tổ chức quản lý chỉ dẫn địa lý dùng cho các đặc sản </w:t>
      </w:r>
      <w:r w:rsidRPr="00A475F3">
        <w:rPr>
          <w:rFonts w:cs="Times New Roman"/>
          <w:snapToGrid w:val="0"/>
          <w:color w:val="000000" w:themeColor="text1"/>
          <w:sz w:val="24"/>
          <w:szCs w:val="24"/>
          <w:lang w:val="nl-NL"/>
        </w:rPr>
        <w:t>của địa phương</w:t>
      </w:r>
      <w:r w:rsidRPr="00A475F3">
        <w:rPr>
          <w:rFonts w:cs="Times New Roman"/>
          <w:color w:val="000000" w:themeColor="text1"/>
          <w:sz w:val="24"/>
          <w:szCs w:val="24"/>
          <w:lang w:val="nl-NL"/>
        </w:rPr>
        <w:t>.</w:t>
      </w:r>
    </w:p>
    <w:p w:rsidR="002341C3" w:rsidRPr="00A475F3" w:rsidRDefault="002341C3" w:rsidP="002341C3">
      <w:pPr>
        <w:spacing w:before="95" w:after="95"/>
        <w:ind w:firstLine="720"/>
        <w:jc w:val="both"/>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Điều 20. Bảo mật dữ liệu thử nghiệm</w:t>
      </w:r>
    </w:p>
    <w:p w:rsidR="002341C3" w:rsidRPr="00A475F3" w:rsidRDefault="002341C3" w:rsidP="002341C3">
      <w:pPr>
        <w:spacing w:before="95" w:after="95"/>
        <w:ind w:firstLine="720"/>
        <w:jc w:val="both"/>
        <w:outlineLvl w:val="4"/>
        <w:rPr>
          <w:rFonts w:cs="Times New Roman"/>
          <w:b/>
          <w:bCs/>
          <w:color w:val="000000" w:themeColor="text1"/>
          <w:sz w:val="24"/>
          <w:szCs w:val="24"/>
          <w:lang w:val="nl-NL"/>
        </w:rPr>
      </w:pPr>
      <w:r w:rsidRPr="00A475F3">
        <w:rPr>
          <w:rFonts w:cs="Times New Roman"/>
          <w:color w:val="000000" w:themeColor="text1"/>
          <w:sz w:val="24"/>
          <w:szCs w:val="24"/>
          <w:lang w:val="nl-NL"/>
        </w:rPr>
        <w:t>Bộ Y tế, Bộ Nông nghiệp và Phát triển nông thôn chủ trì, phối hợp với Bộ Khoa học và Công nghệ hướng dẫn thi hành việc bảo mật dữ liệu thử nghiệm trong thủ tục đăng ký lưu hành các sản phẩm quy định tại Điều 128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21. Sử dụng đối tượng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1. Hành vi lưu thông sản phẩm quy định tại điểm d khoản 1, điểm b khoản 2, điểm b khoản 5 và điểm b khoản 7 Điều 124 của Luật Sở hữu trí tuệ bao gồm cả hành vi bán, trưng bày để bán, vận chuyển sản phẩm.</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Sản phẩm được đưa ra thị trường, kể cả thị trường nước ngoài một cách hợp pháp quy định tại điểm b khoản 2 Điều 125 của Luật Sở hữu trí tuệ được hiểu là sản phẩm do chính chủ sở hữu, người được chuyển giao quyền sử dụng, kể cả chuyển giao quyền sử dụng theo quyết định bắt buộc, người có quyền sử dụng trước đối tượng sở hữu công nghiệp đã đưa ra thị trường trong nước hoặc nước ngoài.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22. Sử dụng sáng chế nhân danh Nhà nước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Việc sử dụng sáng chế nhân danh Nhà nước nhằm phục vụ lợi ích công cộng, phi thương mại, phục vụ quốc phòng, an ninh, phòng bệnh, chữa bệnh, dinh dưỡng cho nhân dân hoặc đáp ứng các nhu cầu cấp thiết khác của xã hội theo quy định tại khoản 1 Điều 133 của Luật Sở hữu trí tuệ do các Bộ, cơ quan ngang Bộ thực hiện hoặc chỉ định tổ chức, cá nhân khác thực hiện trên cơ sở ban hành quyết định bắt buộc chuyển giao quyền sử dụng sáng chế quy định tại điểm a khoản 1 Điều 145 và đoạn hai khoản 1 Điều 147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Thủ tục ban hành quyết định bắt buộc chuyển giao quyền sử dụng sáng chế trong trường hợp sử dụng sáng chế nhân danh Nhà nước thực hiện theo quy định của các bộ quản lý ngành.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23. Nghĩa vụ sử dụng sáng chế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Khi có các nhu cầu quốc phòng, an ninh, phòng bệnh, chữa bệnh, dinh dưỡng cho nhân dân hoặc các nhu cầu cấp thiết khác của xã hội mà người nắm độc quyền sử dụng sáng chế không thực hiện nghĩa vụ sản xuất sản phẩm được bảo hộ hoặc áp dụng quy trình được bảo hộ tại Việt Nam để đáp ứng các nhu cầu đó theo quy định tại khoản 1 Điều 136 và khoản 5 Điều 142 của Luật Sở hữu trí tuệ thì Bộ Khoa học và Công nghệ có thể cho phép các tổ chức, cá nhân khác sử dụng sáng chế trên cơ sở ban hành quyết định bắt buộc chuyển giao quyền sử dụng sáng chế theo quy định tại điểm b khoản 1 Điều 145 và đoạn thứ nhất khoản 1 Điều 147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Trong trường hợp các nhu cầu quốc phòng, an ninh, phòng bệnh, chữa bệnh, dinh dưỡng cho nhân dân hoặc các nhu cầu cấp thiết khác của xã hội được đáp ứng bởi sản phẩm nhập khẩu, sản phẩm do bên nhận chuyển quyền sử dụng sáng chế theo hợp đồng sản xuất thì người nắm độc quyền sử dụng sáng chế không phải thực hiện nghĩa vụ sản xuất sản phẩm được bảo hộ hoặc áp dụng quy trình được bảo hộ quy định tại khoản 1 Điều này.</w:t>
      </w:r>
    </w:p>
    <w:p w:rsidR="002341C3" w:rsidRPr="00A475F3" w:rsidRDefault="002341C3" w:rsidP="002341C3">
      <w:pPr>
        <w:spacing w:before="95" w:after="95"/>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Chương IV</w:t>
      </w:r>
    </w:p>
    <w:p w:rsidR="002341C3" w:rsidRPr="00A475F3" w:rsidRDefault="002341C3" w:rsidP="002341C3">
      <w:pPr>
        <w:spacing w:before="95" w:after="95"/>
        <w:jc w:val="center"/>
        <w:rPr>
          <w:rFonts w:cs="Times New Roman"/>
          <w:b/>
          <w:bCs/>
          <w:color w:val="000000" w:themeColor="text1"/>
          <w:sz w:val="24"/>
          <w:szCs w:val="24"/>
          <w:lang w:val="nl-NL"/>
        </w:rPr>
      </w:pPr>
      <w:r w:rsidRPr="00A475F3">
        <w:rPr>
          <w:rFonts w:cs="Times New Roman"/>
          <w:b/>
          <w:bCs/>
          <w:color w:val="000000" w:themeColor="text1"/>
          <w:sz w:val="24"/>
          <w:szCs w:val="24"/>
          <w:lang w:val="nl-NL"/>
        </w:rPr>
        <w:t>CHUYỂN GIAO QUYỀN SỞ HỮU CÔNG NGHIỆP</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24. Giá đền bù đối với quyền sử dụng sáng chế bị chuyển giao theo quyết định bắt buộc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Giá đền bù đối với quyền sử dụng sáng chế bị chuyển giao theo quyết định bắt buộc quy định tại điểm d khoản 1 Điều 146 của Luật Sở hữu trí tuệ được xác định theo giá trị kinh tế của quyền sử dụng được chuyển giao, trên cơ sở xem xét các yếu tố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Giá chuyển giao quyền sử dụng sáng chế theo hợp đồng;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Kinh phí đầu tư để tạo ra sáng chế, trong đó phải xem xét đến phần kinh phí được hỗ trợ từ ngân sách nhà nước (nếu có);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Lợi nhuận thu được do sử dụng sáng chế;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d) Thời gian hiệu lực còn lại của văn bằng bảo hộ;</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đ) Mức độ cần thiết của việc chuyển giao quyền sử dụng sáng chế;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e) Các yếu tố khác trực tiếp quyết định giá trị kinh tế của quyền sử dụng được chuyển giao.</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Giá đền bù không vượt quá 5% giá bán tịnh của sản phẩm được sản xuất theo sáng chế, với điều kiện bảo đảm nguyên tắc quy định tại khoản 1 Điều này.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Cơ quan có thẩm quyền ra quyết định bắt buộc chuyển giao quyền sử dụng sáng chế có thể thành lập hội đồng định giá hoặc trưng cầu giám định để xác định giá đền bù quy định tại khoản 1 Điều này.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25. Hồ sơ và thủ tục chuyển giao quyền sử dụng sáng chế theo quyết định bắt buộc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Bộ Khoa học và Công nghệ quy định chi tiết về hình thức, nội dung hồ sơ yêu cầu được chuyển giao quyền sử dụng sáng chế quy định tại khoản 1 Điều 147 của Luật Sở hữu trí tuệ, trừ quy định tại khoản 2 Điều này; quy định và tổ chức thực hiện thủ tục tiếp nhận và xử lý yêu cầu được chuyển giao quyền sử dụng sáng chế.</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Bộ Y tế, Bộ Nông nghiệp và Phát triển nông thôn chủ trì, phối hợp với Bộ Khoa học và Công nghệ hướng dẫn thi hành, tổ chức thực hiện thủ tục bắt buộc chuyển giao quyền sử dụng sáng chế và sử dụng sáng chế nhân danh Nhà nước nhằm đảm bảo nhu cầu chăm sóc sức khoẻ và dinh dưỡng cho nhân dân.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26. Hồ sơ và thủ tục đăng ký hợp đồng chuyển giao quyền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Bộ Khoa học và Công nghệ quy định chi tiết về hình thức, nội dung các loại hồ sơ đăng ký hợp đồng chuyển giao quyền sở hữu công nghiệp quy định tại Điều 149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2. Bộ Khoa học và Công nghệ quy định thủ tục tiếp nhận và xử lý hồ sơ đăng ký hợp đồng chuyển giao quyền sở hữu công nghiệp. </w:t>
      </w:r>
    </w:p>
    <w:p w:rsidR="002341C3" w:rsidRPr="00A475F3" w:rsidRDefault="002341C3" w:rsidP="002341C3">
      <w:pPr>
        <w:spacing w:before="95" w:after="95"/>
        <w:rPr>
          <w:rFonts w:cs="Times New Roman"/>
          <w:color w:val="000000" w:themeColor="text1"/>
          <w:sz w:val="24"/>
          <w:szCs w:val="24"/>
          <w:lang w:val="nl-NL"/>
        </w:rPr>
      </w:pPr>
      <w:r w:rsidRPr="00A475F3">
        <w:rPr>
          <w:rFonts w:cs="Times New Roman"/>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Chương V</w:t>
      </w:r>
    </w:p>
    <w:p w:rsidR="002341C3" w:rsidRPr="00A475F3" w:rsidRDefault="002341C3" w:rsidP="002341C3">
      <w:pPr>
        <w:spacing w:before="95" w:after="95"/>
        <w:jc w:val="center"/>
        <w:rPr>
          <w:rFonts w:cs="Times New Roman"/>
          <w:b/>
          <w:bCs/>
          <w:color w:val="000000" w:themeColor="text1"/>
          <w:sz w:val="24"/>
          <w:szCs w:val="24"/>
          <w:lang w:val="nl-NL"/>
        </w:rPr>
      </w:pPr>
      <w:r w:rsidRPr="00A475F3">
        <w:rPr>
          <w:rFonts w:cs="Times New Roman"/>
          <w:b/>
          <w:bCs/>
          <w:color w:val="000000" w:themeColor="text1"/>
          <w:sz w:val="24"/>
          <w:szCs w:val="24"/>
          <w:lang w:val="nl-NL"/>
        </w:rPr>
        <w:t>ĐẠI DIỆN SỞ HỮU CÔNG NGHIỆP</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27. Chương trình đào tạo pháp luật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Bộ Khoa học và Công nghệ chủ trì, phối hợp với Bộ Giáo dục và Đào tạo, Bộ Tư pháp quy định cụ thể về Chương trình đào tạo pháp luật về sở hữu công nghiệp quy định tại khoản 3 Điều 155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2. Cá nhân được coi là đã tốt nghiệp khoá đào tạo pháp luật về sở hữu công nghiệp quy định tại điểm d khoản 2 Điều 155 của Luật Sở hữu trí tuệ trong các trường hợp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a) Tác giả luận văn tốt nghiệp đại học, sau đại học về đề tài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Tốt nghiệp khoá đào tạo về sở hữu công nghiệp được Bộ Khoa học và Công nghệ công nhận.</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28. Kiểm tra nghiệp vụ 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Việc kiểm tra nghiệp vụ đại diện sở hữu công nghiệp được tiến hành nhằm đánh giá khả năng vận dụng pháp luật sở hữu công nghiệp để giải quyết các vấn đề cụ thể liên quan đến xác lập quyền và bảo vệ quyền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Nội dung kiểm tra nghiệp vụ đại diện sở hữu công nghiệp bao gồm kỹ năng vận dụng pháp luật sở hữu công nghiệp để xử lý các tình huống liên quan đến việc bảo hộ các đối tượng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3. Bộ Khoa học và Công nghệ hướng dẫn và tổ chức kiểm tra nghiệp vụ 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29. Cấp và thu hồi Chứng chỉ hành nghề dịch vụ 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Chứng chỉ hành nghề dịch vụ đại diện sở hữu công nghiệp được cấp cho cá nhân đáp ứng các điều kiện quy định tại khoản 2 Điều 155 của Luật Sở hữu trí tuệ theo yêu cầu của cá nhân đó sau khi đã nộp phí, lệ phí theo quy định của pháp luật.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Chứng chỉ hành nghề dịch vụ</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đại diện sở hữu công nghiệp bị thu hồi trong các trường hợp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Người được cấp Chứng chỉ hành nghề dịch vụ đại diện sở hữu công nghiệp từ bỏ hoạt động 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Người được cấp Chứng chỉ hành nghề dịch vụ đại diện sở hữu công nghiệp không còn đáp ứng các điều kiện quy định tại khoản 2 Điều 155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Người được cấp Chứng chỉ hành nghề dịch vụ đại diện sở hữu công nghiệp vi phạm nghiêm trọng các quy định tại khoản 3</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Điều 152 và Điều 153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d) Người được cấp Chứng chỉ hành nghề dịch vụ đại diện sở hữu công nghiệp có sai phạm nghiêm trọng trong khi hành nghề đại diện sở hữu công nghiệp, gây thiệt hại cho lợi ích của Nhà nước, xã hội.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đ) Người được cấp Chứng chỉ hành nghề dịch vụ đại diện sở hữu công nghiệp lợi dụng danh nghĩa đại diện sở hữu công nghiệp để thực hiện các hoạt động ngoài phạm vi dịch vụ đại diện sở hữu công nghiệp quy định tại khoản 1 Điều 151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Bộ Khoa học và Công nghệ cấp, thu hồi Chứng chỉ hành nghề dịch vụ</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4. Tổ chức có đủ các điều kiện theo quy định tại Điều 154 của Luật Sở hữu trí tuệ được ghi nhận là tổ chức kinh doanh dịch vụ đại diện sở hữu công nghiệp trong Sổ đăng ký quốc gia về đại diện sở hữu công nghiệp và công bố trên Công báo Sở hữu công nghiệp theo yêu cầu của tổ chức đó và sau khi nộp phí, lệ phí theo quy định.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5. Tổ chức dịch vụ đại diện sở hữu công nghiệp bị xoá tên trong Sổ đăng ký quốc gia về đại diện sở hữu công nghiệp và công bố trên Công báo Sở hữu công nghiệp về việc bị</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xoá tên trong các trường hợp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Tổ chức dịch vụ đại diện sở hữu công nghiệp từ bỏ kinh doanh dịch vụ đại diện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Tổ chức dịch vụ</w:t>
      </w:r>
      <w:r w:rsidRPr="00A475F3">
        <w:rPr>
          <w:rFonts w:cs="Times New Roman"/>
          <w:b/>
          <w:bCs/>
          <w:color w:val="000000" w:themeColor="text1"/>
          <w:sz w:val="24"/>
          <w:szCs w:val="24"/>
          <w:lang w:val="nl-NL"/>
        </w:rPr>
        <w:t xml:space="preserve"> </w:t>
      </w:r>
      <w:r w:rsidRPr="00A475F3">
        <w:rPr>
          <w:rFonts w:cs="Times New Roman"/>
          <w:color w:val="000000" w:themeColor="text1"/>
          <w:sz w:val="24"/>
          <w:szCs w:val="24"/>
          <w:lang w:val="nl-NL"/>
        </w:rPr>
        <w:t>đại diện sở hữu công nghiệp không còn đáp ứng đầy đủ các điều kiện quy định tại Điều 154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Tổ chức dịch vụ đại diện sở hữu công nghiệp vi phạm nghiêm trọng các quy định tại  khoản 3 Điều 152 và Điều 153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d) Tổ chức dịch vụ đại diện sở hữu công nghiệp có sai phạm nghiêm trọng trong khi tiến hành dịch vụ đại diện sở hữu công nghiệp gây thiệt hại cho lợi ích của Nhà nước, xã hội;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đ) Tổ chức dịch vụ đại diện sở hữu công nghiệp lợi dụng danh nghĩa đại diện sở hữu công nghiệp để thực hiện các hoạt động ngoài phạm vi dịch vụ đại diện sở hữu công nghiệp quy định tại khoản 1 Điều 151 của Luật Sở hữu trí tuệ.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6. Việc xem xét yêu cầu cấp lại Chứng chỉ hành nghề dịch vụ đại diện sở hữu công nghiệp hoặc ghi nhận lại tổ chức dịch vụ đại diện sở hữu công nghiệp trong Sổ đăng ký quốc gia về đại diện sở hữu công nghiệp trong trường hợp đã bị thu hồi hoặc xoá tên theo quy định tại điểm c, điểm d và điểm đ khoản 2 hoặc điểm c, điểm d và điểm đ khoản 5 Điều này chỉ được tiến hành sau thời hạn ba năm, kể từ ngày bị thu hồi hoặc xoá tên.</w:t>
      </w:r>
    </w:p>
    <w:p w:rsidR="002341C3" w:rsidRPr="00A475F3" w:rsidRDefault="002341C3" w:rsidP="002341C3">
      <w:pPr>
        <w:spacing w:before="95" w:after="95"/>
        <w:jc w:val="both"/>
        <w:rPr>
          <w:rFonts w:cs="Times New Roman"/>
          <w:color w:val="000000" w:themeColor="text1"/>
          <w:sz w:val="24"/>
          <w:szCs w:val="24"/>
          <w:lang w:val="nl-NL"/>
        </w:rPr>
      </w:pPr>
      <w:r w:rsidRPr="00A475F3">
        <w:rPr>
          <w:rFonts w:cs="Times New Roman"/>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lastRenderedPageBreak/>
        <w:t>Chương VI</w:t>
      </w:r>
    </w:p>
    <w:p w:rsidR="002341C3" w:rsidRPr="00A475F3" w:rsidRDefault="002341C3" w:rsidP="002341C3">
      <w:pPr>
        <w:spacing w:before="95" w:after="95"/>
        <w:jc w:val="center"/>
        <w:rPr>
          <w:rFonts w:cs="Times New Roman"/>
          <w:color w:val="000000" w:themeColor="text1"/>
          <w:sz w:val="24"/>
          <w:szCs w:val="24"/>
          <w:lang w:val="nl-NL"/>
        </w:rPr>
      </w:pPr>
      <w:r w:rsidRPr="00A475F3">
        <w:rPr>
          <w:rFonts w:cs="Times New Roman"/>
          <w:b/>
          <w:bCs/>
          <w:color w:val="000000" w:themeColor="text1"/>
          <w:sz w:val="24"/>
          <w:szCs w:val="24"/>
          <w:lang w:val="nl-NL"/>
        </w:rPr>
        <w:t>CÁC BIỆN PHÁP THÚC ĐẨY HOẠT ĐỘNG</w:t>
      </w:r>
    </w:p>
    <w:p w:rsidR="002341C3" w:rsidRPr="00A475F3" w:rsidRDefault="002341C3" w:rsidP="002341C3">
      <w:pPr>
        <w:spacing w:before="95" w:after="95"/>
        <w:jc w:val="center"/>
        <w:rPr>
          <w:rFonts w:cs="Times New Roman"/>
          <w:b/>
          <w:bCs/>
          <w:color w:val="000000" w:themeColor="text1"/>
          <w:sz w:val="24"/>
          <w:szCs w:val="24"/>
          <w:lang w:val="nl-NL"/>
        </w:rPr>
      </w:pPr>
      <w:r w:rsidRPr="00A475F3">
        <w:rPr>
          <w:rFonts w:cs="Times New Roman"/>
          <w:b/>
          <w:bCs/>
          <w:color w:val="000000" w:themeColor="text1"/>
          <w:sz w:val="24"/>
          <w:szCs w:val="24"/>
          <w:lang w:val="nl-NL"/>
        </w:rPr>
        <w:t>SỞ HỮU CÔNG NGHIỆP</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30. Đào tạo, bồi dưỡng nhân lực cho hoạt động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Bộ Khoa học và Công nghệ chủ trì, phối hợp với Bộ Giáo dục và Đào tạo, Bộ Tư pháp quy định chi tiết về nội dung, chương trình đào tạo, bồi dưỡng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Bộ Tư pháp chủ trì, phối hợp với Bộ Khoa học và Công nghệ tổ chức xây dựng nội dung, chương trình bồi dưỡng kiến thức sở hữu công nghiệp cho các chức danh tư pháp.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Bộ Khoa học và Công nghệ chủ trì, phối hợp với các bộ, ngành liên quan tổ chức việc bồi dưỡng về sở hữu công nghiệp cho những người làm công tác quản lý nhà nước, thẩm định, giám định, xử lý vi phạm, xâm phạm về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Bộ Giáo dục và Đào tạo chủ trì, phối hợp với Bộ Tư pháp, Bộ Khoa học và Công nghệ xây dựng chương trình và tổ chức việc đào tạo về sở hữu công nghiệp trong các cơ sở đào tạo.</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31. Bảo đảm thông tin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Hệ thống thông tin sở hữu công nghiệp bao gồm tập hợp các thông tin liên quan đến tất cả các đối tượng sở hữu công nghiệp được bảo hộ tại Việt Nam, các thông tin chọn lọc theo mục đích hoặc theo chủ đề về các đối tượng sở hữu công nghiệp của nước ngoài, được phân loại, sắp xếp phù hợp và thuận tiện cho việc tìm kiếm (tra cứu), phân phối và sử dụng.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Bộ Khoa học và Công nghệ có trách nhiệm tổ chức xây dựng, quản lý các kho thông tin sở hữu công nghiệp, xây dựng các công cụ phân loại, tra cứu, hướng dẫn cách tra cứu và sử dụng thông tin sở hữu công nghiệp trong và ngoài nước; tổ chức việc cung ứng thông tin đầy đủ, kịp thời, chính xác, bảo đảm khả năng tiếp cận các kho thông tin cho các đối tượng có nhu cầu dùng tin phục vụ các hoạt động xác lập và bảo vệ quyền sở hữu công nghiệp, nghiên cứu, phát triển và kinh doanh.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Các đề tài, dự án nghiên cứu triển khai không được cấp kinh phí từ ngân sách nhà nước nếu việc tra cứu thông tin sáng chế không được thực hiện ngay từ khi xây dựng đề cương đề tài, dự án hoặc nếu các đề tài, dự án trùng lặp với các thông tin sáng chế đã có, trừ các đề tài, dự án nhằm áp dụng thử hoặc nhằm tìm ra các bí quyết  kỹ thuật để khai thác các sáng chế đã có.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Bộ Khoa học và Công nghệ có trách nhiệm tổ chức việc cung cấp dịch vụ tra cứu sáng chế theo yêu cầu của các cơ quan, tổ chức, cá nhân xây dựng, phê duyệt, nghiệm thu các đề tài, dự án nghiên cứu triển khai có sử dụng kinh phí của Nhà nước, với điều kiện người yêu cầu tra cứu nộp phí tra cứu theo quy định của Bộ Tài chính.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32. Hạch toán các chi phí và giá liên quan đến sở hữu công nghiệp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Các chi phí nhằm các mục đích sau đây được coi là chi phí hợp lý của doanh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Chi cho việc tạo ra sáng chế, kiểu dáng công nghiệp, thiết kế bố trí; chi cho việc thiết kế mẫu nhãn hiệu, mẫu biểu tượng (logo) doanh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Chi cho việc thực hiện các thủ tục đăng ký, duy trì, gia hạn quyền đối với sáng chế, kiểu dáng công nghiệp, thiết kế bố trí, nhãn hiệu, chỉ dẫn địa lý, bao gồm cả việc thực hiện các thủ tục đó ở nước ngoài;</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Chi cho việc thực hiện các biện pháp bảo mật bí mật kinh doanh, bảo vệ quyền đối với sáng chế, kiểu dáng công nghiệp, thiết kế bố trí, nhãn hiệu, chỉ dẫn địa lý;</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d) Chi cho việc trả thù lao cho tác giả;</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lastRenderedPageBreak/>
        <w:t>đ) Chi cho việc mua quyền sở hữu hoặc quyền sử dụng sáng chế, kiểu dáng công nghiệp, thiết kế bố trí, nhãn hiệu, bí mật kinh doanh.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Các sáng chế, kiểu dáng công nghiệp, thiết kế bố trí, nhãn hiệu, tên thương mại, bí mật kinh doanh và các quyền sở hữu công nghiệp liên quan đang có hiệu lực do doanh nghiệp tạo ra, hoặc được chuyển nhượng, chuyển giao là các tài sản trí tuệ của doanh nghiệp, được tính vào tổng số tài sản của doanh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Bộ Tài chính chủ trì, phối hợp với Bộ Khoa học và Công nghệ hướng dẫn cách hạch toán chi phí liên quan đến sở hữu công nghiệp và cách định giá tài sản trí tuệ quy định tại khoản 1 và khoản 2 Điều này.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33. Mở rộng phạm vi sử dụng sáng chế, kiểu dáng công nghiệp, thiết kế bố trí của Nhà nước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Đối với những sáng chế, kiểu dáng công nghiệp, thiết kế bố trí do Nhà nước sở hữu và trong trường hợp khả năng sử dụng của chủ Văn bằng bảo hộ không đáp ứng được nhu cầu của xã hội thì các tổ chức khác của Nhà nước có quyền yêu cầu chủ Văn bằng bảo hộ chuyển giao quyền sử dụng sáng chế, kiểu dáng công nghiệp, thiết kế bố trí đó với các điều kiện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Quyền sử dụng sáng chế, kiểu dáng công nghiệp, thiết kế bố trí được chuyển giao thuộc dạng không độc quyền và không được chuyển giao quyền đó cho người khác;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Phạm vi sử dụng sáng chế, kiểu dáng công nghiệp, thiết kế bố trí của bên nhận chuyển giao không ảnh hưởng đến việc sử dụng sáng chế, kiểu dáng công nghiệp, thiết kế bố trí cho đến hết khả năng của chủ Văn bằng bảo hộ;</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 Trong trường hợp sáng chế, kiểu dáng công nghiệp, thiết kế bố trí sử dụng không nhằm mục đích thương mại, giá chuyển giao quyền sử dụng mà bên nhận quyền sử dụng sáng chế, kiểu dáng công nghiệp, thiết kế bố trí phải trả cho chủ Văn bằng bảo hộ bằng 50% mức mà bên nhận không phải là tổ chức nhà nước phải trả để nhận quyền sử dụng sáng chế, kiểu dáng công nghiệp, thiết kế bố trí đó với điều kiện khác tương đương.</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Việc chuyển giao quyền sử dụng sáng chế, kiểu dáng công nghiệp, thiết kế bố trí của Nhà nước cho các tổ chức nhà nước quy định tại khoản 1 Điều này không ảnh hưởng đến quyền của chủ Văn bằng bảo hộ trong việc chuyển giao quyền sử dụng các đối tượng đó cho các tổ chức khác không phải của Nhà nước.</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34. Khuyến khích tổ chức xã hội, tổ chức xã hội - nghề nghiệp</w:t>
      </w:r>
      <w:r w:rsidRPr="00A475F3">
        <w:rPr>
          <w:rFonts w:cs="Times New Roman"/>
          <w:color w:val="000000" w:themeColor="text1"/>
          <w:sz w:val="24"/>
          <w:szCs w:val="24"/>
          <w:lang w:val="nl-NL"/>
        </w:rPr>
        <w:t xml:space="preserve"> </w:t>
      </w:r>
      <w:r w:rsidRPr="00A475F3">
        <w:rPr>
          <w:rFonts w:cs="Times New Roman"/>
          <w:b/>
          <w:bCs/>
          <w:color w:val="000000" w:themeColor="text1"/>
          <w:sz w:val="24"/>
          <w:szCs w:val="24"/>
          <w:lang w:val="nl-NL"/>
        </w:rPr>
        <w:t>hoạt động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Các tổ chức xã hội, tổ chức xã hội - nghề nghiệp hoạt động trong lĩnh vực sở hữu c�ng nghiệp được tạo điều kiện để thực hiện chức năng tư vấn, phản biện xã hội về sở hữu trí tuệ và thúc đẩy các hoạt động dịch vụ xã hội ngoài công lập nhằm phát huy đầy đủ vai trò bổ trợ cho hoạt động của các cơ quan nhà nước và hỗ trợ cho các chủ thể quyền sở hữu công nghiệp.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 xml:space="preserve">Điều 35. Các biện pháp khác khuyến khích hoạt động sáng tạo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Nhà nước khuyến khích và bảo trợ các hoạt động sáng tạo công nghệ bằng các biện pháp sau đây: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Bảo trợ các cuộc thi sáng tạo kỹ thuật.</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Khen thưởng, phổ biến kinh nghiệm, phương pháp sáng tạo, điển hình tiên tiến về lao động sáng tạo.</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Hỗ trợ hoạt động xác lập và bảo vệ quyền sở hữu công nghiệp đối với các thành quả sáng tạo.</w:t>
      </w:r>
    </w:p>
    <w:p w:rsidR="002341C3" w:rsidRPr="00A475F3" w:rsidRDefault="002341C3" w:rsidP="002341C3">
      <w:pPr>
        <w:spacing w:before="95" w:after="95"/>
        <w:jc w:val="both"/>
        <w:rPr>
          <w:rFonts w:cs="Times New Roman"/>
          <w:color w:val="000000" w:themeColor="text1"/>
          <w:sz w:val="24"/>
          <w:szCs w:val="24"/>
          <w:lang w:val="nl-NL"/>
        </w:rPr>
      </w:pPr>
      <w:r w:rsidRPr="00A475F3">
        <w:rPr>
          <w:rFonts w:cs="Times New Roman"/>
          <w:color w:val="000000" w:themeColor="text1"/>
          <w:sz w:val="24"/>
          <w:szCs w:val="24"/>
          <w:lang w:val="nl-NL"/>
        </w:rPr>
        <w:t> </w:t>
      </w:r>
    </w:p>
    <w:p w:rsidR="002341C3" w:rsidRPr="00A475F3" w:rsidRDefault="002341C3" w:rsidP="002341C3">
      <w:pPr>
        <w:spacing w:before="95" w:after="95"/>
        <w:jc w:val="center"/>
        <w:outlineLvl w:val="4"/>
        <w:rPr>
          <w:rFonts w:cs="Times New Roman"/>
          <w:b/>
          <w:bCs/>
          <w:color w:val="000000" w:themeColor="text1"/>
          <w:sz w:val="24"/>
          <w:szCs w:val="24"/>
          <w:lang w:val="nl-NL"/>
        </w:rPr>
      </w:pPr>
      <w:r w:rsidRPr="00A475F3">
        <w:rPr>
          <w:rFonts w:cs="Times New Roman"/>
          <w:b/>
          <w:bCs/>
          <w:color w:val="000000" w:themeColor="text1"/>
          <w:sz w:val="24"/>
          <w:szCs w:val="24"/>
          <w:lang w:val="nl-NL"/>
        </w:rPr>
        <w:t>Chương VII</w:t>
      </w:r>
    </w:p>
    <w:p w:rsidR="002341C3" w:rsidRPr="00A475F3" w:rsidRDefault="002341C3" w:rsidP="002341C3">
      <w:pPr>
        <w:spacing w:before="95" w:after="95"/>
        <w:jc w:val="center"/>
        <w:rPr>
          <w:rFonts w:cs="Times New Roman"/>
          <w:b/>
          <w:bCs/>
          <w:color w:val="000000" w:themeColor="text1"/>
          <w:sz w:val="24"/>
          <w:szCs w:val="24"/>
          <w:lang w:val="nl-NL"/>
        </w:rPr>
      </w:pPr>
      <w:r w:rsidRPr="00A475F3">
        <w:rPr>
          <w:rFonts w:cs="Times New Roman"/>
          <w:b/>
          <w:bCs/>
          <w:color w:val="000000" w:themeColor="text1"/>
          <w:sz w:val="24"/>
          <w:szCs w:val="24"/>
          <w:lang w:val="nl-NL"/>
        </w:rPr>
        <w:lastRenderedPageBreak/>
        <w:t>ĐIỀU KHOẢN THI HÀNH</w:t>
      </w:r>
    </w:p>
    <w:p w:rsidR="002341C3" w:rsidRPr="00A475F3" w:rsidRDefault="002341C3" w:rsidP="002341C3">
      <w:pPr>
        <w:spacing w:before="95" w:after="95"/>
        <w:jc w:val="center"/>
        <w:rPr>
          <w:rFonts w:cs="Times New Roman"/>
          <w:color w:val="000000" w:themeColor="text1"/>
          <w:sz w:val="24"/>
          <w:szCs w:val="24"/>
          <w:lang w:val="nl-NL"/>
        </w:rPr>
      </w:pP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36. Điều khoản chuyển tiếp</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 xml:space="preserve">1. Các đơn đăng ký sở hữu công nghiệp nộp cho Cục Sở hữu trí tuệ trước ngày 01 tháng 01 năm 2006 được tiếp tục xử lý theo quy định của Bộ luật Dân sự 1995 và các văn bản hướng dẫn thi hành Bộ luật Dân sự 1995. </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Các đơn đăng ký sở hữu công nghiệp nộp cho Cục Sở hữu trí tuệ từ ngày 01 tháng 01 năm 2006 đến trước ngày 01 tháng 7 năm 2006 cũng được xử lý theo quy định của Bộ luật Dân sự 1995 và các văn bản hướng dẫn thi hành Bộ luật Dân sự 1995, trong đó:</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a) Đơn đăng ký sáng chế có thể yêu cầu cấp Bằng độc quyền giải pháp hữu ích và trong trường hợp đó được xử lý như đơn đăng ký giải pháp hữu ích;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b) Đơn đăng ký chỉ dẫn địa lý được xử lý như đơn đăng ký tên gọi xuất xứ hàng hoá.</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3. Từ ngày 01 tháng 01 năm 2006 đến ngày 30 tháng 6 năm 2006, quyền và nghĩa vụ theo Văn bằng bảo hộ đã được cấp theo Bộ luật Dân sự 1995 và Bộ luật Dân sự 2005 có hiệu lực theo Bộ luật Dân sự 2005 và quy định trong các văn bản hướng dẫn thi hành Bộ luật Dân sự 1995 không trái với quy định của Bộ luật Dân sự 2005.</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4. Trong thời hạn một năm, kể từ ngày Nghị định này bắt đầu có hiệu lực, tổ chức và cá nhân hoạt động dịch vụ đại diện sở hữu công nghiệp hợp pháp theo quy định Bộ luật Dân sự 1995 và các văn bản hướng dẫn thi hành Bộ luật Dân sự 1995 được tiếp tục hoạt động như các tổ chức, cá nhân đáp ứng điều kiện kinh doanh và điều kiện hành nghề quy định tại Điều 154 và Điều 155 của Luật Sở hữu trí tuệ.</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37. Hiệu lực của Nghị định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Nghị định này có hiệu lực thi hành sau 15 ngày, kể từ ngày đăng Công báo.</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Các quy định trước đây trái với Nghị định này đều bị bãi bỏ.</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b/>
          <w:bCs/>
          <w:color w:val="000000" w:themeColor="text1"/>
          <w:sz w:val="24"/>
          <w:szCs w:val="24"/>
          <w:lang w:val="nl-NL"/>
        </w:rPr>
        <w:t>Điều 38. Trách nhiệm hướng dẫn thi hành</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1. Bộ trưởng Bộ Khoa học và Công nghệ hướng dẫn thi hành Nghị định này.</w:t>
      </w:r>
    </w:p>
    <w:p w:rsidR="002341C3" w:rsidRPr="00A475F3" w:rsidRDefault="002341C3" w:rsidP="002341C3">
      <w:pPr>
        <w:spacing w:before="95" w:after="95"/>
        <w:ind w:firstLine="720"/>
        <w:jc w:val="both"/>
        <w:rPr>
          <w:rFonts w:cs="Times New Roman"/>
          <w:color w:val="000000" w:themeColor="text1"/>
          <w:sz w:val="24"/>
          <w:szCs w:val="24"/>
          <w:lang w:val="nl-NL"/>
        </w:rPr>
      </w:pPr>
      <w:r w:rsidRPr="00A475F3">
        <w:rPr>
          <w:rFonts w:cs="Times New Roman"/>
          <w:color w:val="000000" w:themeColor="text1"/>
          <w:sz w:val="24"/>
          <w:szCs w:val="24"/>
          <w:lang w:val="nl-NL"/>
        </w:rPr>
        <w:t>2. Các Bộ trưởng, Thủ trưởng cơ quan ngang Bộ, Thủ trưởng cơ quan thuộc Chính phủ, Chủ tịch Ủy ban nhân dân tỉnh, thành phố trực thuộc Trung ương chịu trách nhiệm thi hành Nghị định này./.</w:t>
      </w:r>
    </w:p>
    <w:p w:rsidR="002341C3" w:rsidRPr="00A475F3" w:rsidRDefault="002341C3" w:rsidP="002341C3">
      <w:pPr>
        <w:pStyle w:val="Heading1"/>
        <w:spacing w:before="240" w:after="0"/>
        <w:ind w:firstLine="5579"/>
        <w:jc w:val="left"/>
        <w:rPr>
          <w:color w:val="000000" w:themeColor="text1"/>
        </w:rPr>
      </w:pPr>
      <w:r w:rsidRPr="00A475F3">
        <w:rPr>
          <w:color w:val="000000" w:themeColor="text1"/>
        </w:rPr>
        <w:t>TM. CHÍNH PHỦ</w:t>
      </w:r>
    </w:p>
    <w:p w:rsidR="002341C3" w:rsidRPr="00A475F3" w:rsidRDefault="002341C3" w:rsidP="002341C3">
      <w:pPr>
        <w:pStyle w:val="Heading2"/>
        <w:rPr>
          <w:color w:val="000000" w:themeColor="text1"/>
        </w:rPr>
      </w:pPr>
      <w:r w:rsidRPr="00A475F3">
        <w:rPr>
          <w:color w:val="000000" w:themeColor="text1"/>
        </w:rPr>
        <w:t xml:space="preserve">   THỦ TƯỚNG </w:t>
      </w:r>
    </w:p>
    <w:p w:rsidR="002341C3" w:rsidRPr="00A475F3" w:rsidRDefault="002341C3" w:rsidP="002341C3">
      <w:pPr>
        <w:ind w:firstLine="5580"/>
        <w:jc w:val="both"/>
        <w:rPr>
          <w:rFonts w:cs="Times New Roman"/>
          <w:color w:val="000000" w:themeColor="text1"/>
          <w:sz w:val="24"/>
          <w:szCs w:val="24"/>
          <w:lang w:val="nl-NL"/>
        </w:rPr>
      </w:pPr>
      <w:r w:rsidRPr="00A475F3">
        <w:rPr>
          <w:rFonts w:cs="Times New Roman"/>
          <w:b/>
          <w:bCs/>
          <w:color w:val="000000" w:themeColor="text1"/>
          <w:sz w:val="24"/>
          <w:szCs w:val="24"/>
          <w:lang w:val="nl-NL"/>
        </w:rPr>
        <w:t>Nguyễn Tấn Dũng</w:t>
      </w:r>
    </w:p>
    <w:p w:rsidR="003F0AEF" w:rsidRDefault="002341C3">
      <w:bookmarkStart w:id="0" w:name="_GoBack"/>
      <w:bookmarkEnd w:id="0"/>
    </w:p>
    <w:sectPr w:rsidR="003F0AEF" w:rsidSect="0070405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C3"/>
    <w:rsid w:val="002341C3"/>
    <w:rsid w:val="002D6F6A"/>
    <w:rsid w:val="006A158B"/>
    <w:rsid w:val="007E30AE"/>
    <w:rsid w:val="00804D91"/>
    <w:rsid w:val="00830AAD"/>
    <w:rsid w:val="008A7888"/>
    <w:rsid w:val="009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C5951-CE7D-430D-9EDA-DDF20700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C3"/>
    <w:pPr>
      <w:spacing w:after="0" w:line="240" w:lineRule="auto"/>
    </w:pPr>
    <w:rPr>
      <w:rFonts w:ascii="Times New Roman" w:eastAsia="Times New Roman" w:hAnsi="Times New Roman" w:cs="Arial"/>
      <w:color w:val="0000FF"/>
      <w:sz w:val="28"/>
      <w:szCs w:val="28"/>
    </w:rPr>
  </w:style>
  <w:style w:type="paragraph" w:styleId="Heading1">
    <w:name w:val="heading 1"/>
    <w:basedOn w:val="Normal"/>
    <w:next w:val="Normal"/>
    <w:link w:val="Heading1Char"/>
    <w:qFormat/>
    <w:rsid w:val="002341C3"/>
    <w:pPr>
      <w:keepNext/>
      <w:spacing w:before="95" w:after="95"/>
      <w:jc w:val="center"/>
      <w:outlineLvl w:val="0"/>
    </w:pPr>
    <w:rPr>
      <w:rFonts w:cs="Times New Roman"/>
      <w:b/>
      <w:bCs/>
      <w:color w:val="auto"/>
      <w:sz w:val="24"/>
      <w:szCs w:val="24"/>
      <w:lang w:val="nl-NL"/>
    </w:rPr>
  </w:style>
  <w:style w:type="paragraph" w:styleId="Heading2">
    <w:name w:val="heading 2"/>
    <w:basedOn w:val="Normal"/>
    <w:next w:val="Normal"/>
    <w:link w:val="Heading2Char"/>
    <w:qFormat/>
    <w:rsid w:val="002341C3"/>
    <w:pPr>
      <w:keepNext/>
      <w:ind w:firstLine="5580"/>
      <w:outlineLvl w:val="1"/>
    </w:pPr>
    <w:rPr>
      <w:rFonts w:cs="Times New Roman"/>
      <w:b/>
      <w:bCs/>
      <w:color w:val="auto"/>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1C3"/>
    <w:rPr>
      <w:rFonts w:ascii="Times New Roman" w:eastAsia="Times New Roman" w:hAnsi="Times New Roman" w:cs="Times New Roman"/>
      <w:b/>
      <w:bCs/>
      <w:sz w:val="24"/>
      <w:szCs w:val="24"/>
      <w:lang w:val="nl-NL"/>
    </w:rPr>
  </w:style>
  <w:style w:type="character" w:customStyle="1" w:styleId="Heading2Char">
    <w:name w:val="Heading 2 Char"/>
    <w:basedOn w:val="DefaultParagraphFont"/>
    <w:link w:val="Heading2"/>
    <w:rsid w:val="002341C3"/>
    <w:rPr>
      <w:rFonts w:ascii="Times New Roman" w:eastAsia="Times New Roman" w:hAnsi="Times New Roman" w:cs="Times New Roman"/>
      <w:b/>
      <w:bCs/>
      <w:sz w:val="24"/>
      <w:szCs w:val="24"/>
      <w:lang w:val="nl-NL"/>
    </w:rPr>
  </w:style>
  <w:style w:type="paragraph" w:styleId="Title">
    <w:name w:val="Title"/>
    <w:basedOn w:val="Normal"/>
    <w:link w:val="TitleChar"/>
    <w:qFormat/>
    <w:rsid w:val="002341C3"/>
    <w:pPr>
      <w:spacing w:before="95" w:after="95"/>
      <w:jc w:val="center"/>
    </w:pPr>
    <w:rPr>
      <w:rFonts w:cs="Times New Roman"/>
      <w:b/>
      <w:bCs/>
      <w:color w:val="auto"/>
      <w:sz w:val="32"/>
      <w:szCs w:val="32"/>
      <w:lang w:val="nl-NL"/>
    </w:rPr>
  </w:style>
  <w:style w:type="character" w:customStyle="1" w:styleId="TitleChar">
    <w:name w:val="Title Char"/>
    <w:basedOn w:val="DefaultParagraphFont"/>
    <w:link w:val="Title"/>
    <w:rsid w:val="002341C3"/>
    <w:rPr>
      <w:rFonts w:ascii="Times New Roman" w:eastAsia="Times New Roman" w:hAnsi="Times New Roman" w:cs="Times New Roman"/>
      <w:b/>
      <w:bCs/>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6241</Words>
  <Characters>35575</Characters>
  <Application>Microsoft Office Word</Application>
  <DocSecurity>0</DocSecurity>
  <Lines>296</Lines>
  <Paragraphs>83</Paragraphs>
  <ScaleCrop>false</ScaleCrop>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2020-10-13T02:49:00Z</dcterms:created>
  <dcterms:modified xsi:type="dcterms:W3CDTF">2020-10-13T02:49:00Z</dcterms:modified>
</cp:coreProperties>
</file>