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DE5BBD" w:rsidTr="00B60130">
        <w:tc>
          <w:tcPr>
            <w:tcW w:w="3348" w:type="dxa"/>
            <w:tcMar>
              <w:top w:w="0" w:type="dxa"/>
              <w:left w:w="108" w:type="dxa"/>
              <w:bottom w:w="0" w:type="dxa"/>
              <w:right w:w="108" w:type="dxa"/>
            </w:tcMar>
            <w:hideMark/>
          </w:tcPr>
          <w:p w:rsidR="00DE5BBD" w:rsidRDefault="00DE5BBD" w:rsidP="00B60130">
            <w:pPr>
              <w:pStyle w:val="NormalWeb"/>
              <w:spacing w:before="120" w:beforeAutospacing="0"/>
              <w:jc w:val="center"/>
            </w:pPr>
            <w:r>
              <w:rPr>
                <w:b/>
                <w:bCs/>
                <w:lang w:val="vi-VN"/>
              </w:rPr>
              <w:t>ỦY BAN NHÂN DÂN</w:t>
            </w:r>
            <w:r>
              <w:rPr>
                <w:b/>
                <w:bCs/>
              </w:rPr>
              <w:br/>
            </w:r>
            <w:r>
              <w:rPr>
                <w:b/>
                <w:bCs/>
                <w:lang w:val="vi-VN"/>
              </w:rPr>
              <w:t>THÀNH PH</w:t>
            </w:r>
            <w:r>
              <w:rPr>
                <w:b/>
                <w:bCs/>
              </w:rPr>
              <w:t xml:space="preserve">Ố </w:t>
            </w:r>
            <w:r>
              <w:rPr>
                <w:b/>
                <w:bCs/>
                <w:lang w:val="vi-VN"/>
              </w:rPr>
              <w:t>HÀ NỘI</w:t>
            </w:r>
            <w:r>
              <w:rPr>
                <w:b/>
                <w:bCs/>
                <w:lang w:val="vi-VN"/>
              </w:rPr>
              <w:br/>
              <w:t>-------</w:t>
            </w:r>
          </w:p>
        </w:tc>
        <w:tc>
          <w:tcPr>
            <w:tcW w:w="5508" w:type="dxa"/>
            <w:tcMar>
              <w:top w:w="0" w:type="dxa"/>
              <w:left w:w="108" w:type="dxa"/>
              <w:bottom w:w="0" w:type="dxa"/>
              <w:right w:w="108" w:type="dxa"/>
            </w:tcMar>
            <w:hideMark/>
          </w:tcPr>
          <w:p w:rsidR="00DE5BBD" w:rsidRDefault="00DE5BBD" w:rsidP="00B60130">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DE5BBD" w:rsidTr="00B60130">
        <w:tc>
          <w:tcPr>
            <w:tcW w:w="3348" w:type="dxa"/>
            <w:tcMar>
              <w:top w:w="0" w:type="dxa"/>
              <w:left w:w="108" w:type="dxa"/>
              <w:bottom w:w="0" w:type="dxa"/>
              <w:right w:w="108" w:type="dxa"/>
            </w:tcMar>
            <w:hideMark/>
          </w:tcPr>
          <w:p w:rsidR="00DE5BBD" w:rsidRDefault="00DE5BBD" w:rsidP="00B60130">
            <w:pPr>
              <w:pStyle w:val="NormalWeb"/>
              <w:spacing w:before="120" w:beforeAutospacing="0"/>
              <w:jc w:val="center"/>
            </w:pPr>
            <w:r>
              <w:rPr>
                <w:lang w:val="vi-VN"/>
              </w:rPr>
              <w:t>Số: 3</w:t>
            </w:r>
            <w:r>
              <w:t>1</w:t>
            </w:r>
            <w:r>
              <w:rPr>
                <w:lang w:val="vi-VN"/>
              </w:rPr>
              <w:t>53/QĐ-UBND</w:t>
            </w:r>
          </w:p>
        </w:tc>
        <w:tc>
          <w:tcPr>
            <w:tcW w:w="5508" w:type="dxa"/>
            <w:tcMar>
              <w:top w:w="0" w:type="dxa"/>
              <w:left w:w="108" w:type="dxa"/>
              <w:bottom w:w="0" w:type="dxa"/>
              <w:right w:w="108" w:type="dxa"/>
            </w:tcMar>
            <w:hideMark/>
          </w:tcPr>
          <w:p w:rsidR="00DE5BBD" w:rsidRDefault="00DE5BBD" w:rsidP="00B60130">
            <w:pPr>
              <w:pStyle w:val="NormalWeb"/>
              <w:spacing w:before="120" w:beforeAutospacing="0"/>
              <w:jc w:val="right"/>
            </w:pPr>
            <w:r>
              <w:rPr>
                <w:i/>
                <w:iCs/>
                <w:lang w:val="vi-VN"/>
              </w:rPr>
              <w:t xml:space="preserve">Hà Nội, ngày </w:t>
            </w:r>
            <w:r>
              <w:rPr>
                <w:i/>
                <w:iCs/>
              </w:rPr>
              <w:t xml:space="preserve">16 </w:t>
            </w:r>
            <w:r>
              <w:rPr>
                <w:i/>
                <w:iCs/>
                <w:lang w:val="vi-VN"/>
              </w:rPr>
              <w:t xml:space="preserve">tháng </w:t>
            </w:r>
            <w:r>
              <w:rPr>
                <w:i/>
                <w:iCs/>
              </w:rPr>
              <w:t>0</w:t>
            </w:r>
            <w:r>
              <w:rPr>
                <w:i/>
                <w:iCs/>
                <w:lang w:val="vi-VN"/>
              </w:rPr>
              <w:t>6 năm 2016</w:t>
            </w:r>
          </w:p>
        </w:tc>
      </w:tr>
    </w:tbl>
    <w:p w:rsidR="00DE5BBD" w:rsidRDefault="00DE5BBD" w:rsidP="00DE5BBD">
      <w:pPr>
        <w:pStyle w:val="NormalWeb"/>
        <w:spacing w:before="120" w:beforeAutospacing="0"/>
      </w:pPr>
      <w:r>
        <w:t> </w:t>
      </w:r>
    </w:p>
    <w:p w:rsidR="00DE5BBD" w:rsidRDefault="00DE5BBD" w:rsidP="00DE5BBD">
      <w:pPr>
        <w:pStyle w:val="NormalWeb"/>
        <w:spacing w:before="120" w:beforeAutospacing="0"/>
        <w:jc w:val="center"/>
      </w:pPr>
      <w:r>
        <w:rPr>
          <w:b/>
          <w:bCs/>
          <w:lang w:val="vi-VN"/>
        </w:rPr>
        <w:t>QUYẾT ĐỊNH</w:t>
      </w:r>
    </w:p>
    <w:p w:rsidR="00DE5BBD" w:rsidRDefault="00DE5BBD" w:rsidP="00DE5BBD">
      <w:pPr>
        <w:pStyle w:val="NormalWeb"/>
        <w:spacing w:before="120" w:beforeAutospacing="0"/>
        <w:jc w:val="center"/>
      </w:pPr>
      <w:r>
        <w:rPr>
          <w:lang w:val="vi-VN"/>
        </w:rPr>
        <w:t>VỀ VIỆC SỬA ĐỔI MỘT SỐ ĐIỀU TẠI QUYẾT ĐỊNH SỐ 3667/QĐ-UBND NGÀY 07/7/2014 CỦA UBND THÀNH PHỐ VỀ TỶ LỆ PHẦN TRĂM (%) ĐƠN GIÁ THUÊ ĐẤT ĐỐI VỚI CÁC TRƯỜNG HỢP THUÊ ĐẤT HÀNG NĂM KHÔNG THÔNG QUA HÌNH THỨC ĐẤU GIÁ, THUÊ ĐẤT VÀ THUÊ MẶT NƯỚC, THUÊ ĐẤT ĐỂ XÂY DỰNG CÔNG TRÌNH NGẦM TRÊN ĐỊA BÀN THÀNH PHỐ HÀ NỘI.</w:t>
      </w:r>
    </w:p>
    <w:p w:rsidR="00DE5BBD" w:rsidRDefault="00DE5BBD" w:rsidP="00DE5BBD">
      <w:pPr>
        <w:pStyle w:val="NormalWeb"/>
        <w:spacing w:before="120" w:beforeAutospacing="0"/>
        <w:jc w:val="center"/>
      </w:pPr>
      <w:r>
        <w:rPr>
          <w:b/>
          <w:bCs/>
          <w:lang w:val="vi-VN"/>
        </w:rPr>
        <w:t>ỦY BAN NHÂN DÂN THÀNH PHỐ HÀ NỘI</w:t>
      </w:r>
    </w:p>
    <w:p w:rsidR="00DE5BBD" w:rsidRDefault="00DE5BBD" w:rsidP="00DE5BBD">
      <w:pPr>
        <w:pStyle w:val="NormalWeb"/>
        <w:spacing w:before="120" w:beforeAutospacing="0"/>
      </w:pPr>
      <w:r>
        <w:rPr>
          <w:i/>
          <w:iCs/>
          <w:lang w:val="vi-VN"/>
        </w:rPr>
        <w:t>Căn cứ Luật Tổ chức chính quyền địa phương ngày 19/6/2015;</w:t>
      </w:r>
    </w:p>
    <w:p w:rsidR="00DE5BBD" w:rsidRDefault="00DE5BBD" w:rsidP="00DE5BBD">
      <w:pPr>
        <w:pStyle w:val="NormalWeb"/>
        <w:spacing w:before="120" w:beforeAutospacing="0"/>
      </w:pPr>
      <w:r>
        <w:rPr>
          <w:i/>
          <w:iCs/>
          <w:lang w:val="vi-VN"/>
        </w:rPr>
        <w:t>Căn cứ Luật Đất đai ngày 29/11/2013;</w:t>
      </w:r>
    </w:p>
    <w:p w:rsidR="00DE5BBD" w:rsidRDefault="00DE5BBD" w:rsidP="00DE5BBD">
      <w:pPr>
        <w:pStyle w:val="NormalWeb"/>
        <w:spacing w:before="120" w:beforeAutospacing="0"/>
      </w:pPr>
      <w:r>
        <w:rPr>
          <w:i/>
          <w:iCs/>
          <w:lang w:val="vi-VN"/>
        </w:rPr>
        <w:t>Căn cứ Nghị định số 46/2014/NĐ-CP ngày 15/5/2014 của Chính phủ về thu tiền thuê đất, thuê mặt nước;</w:t>
      </w:r>
    </w:p>
    <w:p w:rsidR="00DE5BBD" w:rsidRDefault="00DE5BBD" w:rsidP="00DE5BBD">
      <w:pPr>
        <w:pStyle w:val="NormalWeb"/>
        <w:spacing w:before="120" w:beforeAutospacing="0"/>
      </w:pPr>
      <w:r>
        <w:rPr>
          <w:i/>
          <w:iCs/>
          <w:lang w:val="vi-VN"/>
        </w:rPr>
        <w:t>Căn cứ Nghị định số 118/2015/NĐ-CP ngày 12/11/2015 của Chính phủ quy định chi tiết và hướng dẫn thi hành một số điều của Luật Đầu tư;</w:t>
      </w:r>
    </w:p>
    <w:p w:rsidR="00DE5BBD" w:rsidRDefault="00DE5BBD" w:rsidP="00DE5BBD">
      <w:pPr>
        <w:pStyle w:val="NormalWeb"/>
        <w:spacing w:before="120" w:beforeAutospacing="0"/>
      </w:pPr>
      <w:r>
        <w:rPr>
          <w:i/>
          <w:iCs/>
          <w:lang w:val="vi-VN"/>
        </w:rPr>
        <w:t>Căn cứ Thông tư số 77/2014/TT-BTC ngày 16/6/2014 của Bộ Tài chính hướng dẫn một số điều của Nghị định số 46/2014/NĐ-CP ngày 15/5/2014 của Chính phủ quy định về thu tiền thuê đất, thuê mặt nước;</w:t>
      </w:r>
    </w:p>
    <w:p w:rsidR="00DE5BBD" w:rsidRDefault="00DE5BBD" w:rsidP="00DE5BBD">
      <w:pPr>
        <w:pStyle w:val="NormalWeb"/>
        <w:spacing w:before="120" w:beforeAutospacing="0"/>
      </w:pPr>
      <w:r>
        <w:rPr>
          <w:i/>
          <w:iCs/>
          <w:lang w:val="vi-VN"/>
        </w:rPr>
        <w:t>Xét đề nghị của Liên ngành: Sở Tài chính, Sở Tài nguyên và Môi trường, Cục Thuế thành phố Hà Nội tại Công văn số 2775/TTrLN-STC-QLCS ngày 19/5/2016,</w:t>
      </w:r>
    </w:p>
    <w:p w:rsidR="00DE5BBD" w:rsidRDefault="00DE5BBD" w:rsidP="00DE5BBD">
      <w:pPr>
        <w:pStyle w:val="NormalWeb"/>
        <w:spacing w:before="120" w:beforeAutospacing="0"/>
        <w:jc w:val="center"/>
      </w:pPr>
      <w:r>
        <w:rPr>
          <w:b/>
          <w:bCs/>
          <w:lang w:val="vi-VN"/>
        </w:rPr>
        <w:t>QUYẾT ĐỊNH:</w:t>
      </w:r>
    </w:p>
    <w:p w:rsidR="00DE5BBD" w:rsidRDefault="00DE5BBD" w:rsidP="00DE5BBD">
      <w:pPr>
        <w:pStyle w:val="NormalWeb"/>
        <w:spacing w:before="120" w:beforeAutospacing="0"/>
      </w:pPr>
      <w:r>
        <w:rPr>
          <w:b/>
          <w:bCs/>
          <w:lang w:val="vi-VN"/>
        </w:rPr>
        <w:t>Điều 1.</w:t>
      </w:r>
      <w:r>
        <w:rPr>
          <w:lang w:val="vi-VN"/>
        </w:rPr>
        <w:t xml:space="preserve"> Sửa đổi quy định tại Điểm 1.4, Điều 1, Quyết định số 3667/QĐ-UBND ngày 07/7/2014 của UBND thành phố Hà Nội như sau:</w:t>
      </w:r>
    </w:p>
    <w:p w:rsidR="00DE5BBD" w:rsidRDefault="00DE5BBD" w:rsidP="00DE5BBD">
      <w:pPr>
        <w:pStyle w:val="NormalWeb"/>
        <w:spacing w:before="120" w:beforeAutospacing="0"/>
      </w:pPr>
      <w:r>
        <w:rPr>
          <w:lang w:val="vi-VN"/>
        </w:rPr>
        <w:t>1.4. Trường hợp mục đích sử dụng đất thuê làm mặt bằng sản xuất, kinh doanh thuộc ngành, nghề ưu đãi đầu tư, địa bàn ưu đãi đầu tư theo danh mục do Chính phủ quy định, đất sử dụng vào mục đích sản xuất nông nghiệp, lâm nghiệp, nuôi trồng th</w:t>
      </w:r>
      <w:r>
        <w:rPr>
          <w:shd w:val="clear" w:color="auto" w:fill="FFFFFF"/>
          <w:lang w:val="vi-VN"/>
        </w:rPr>
        <w:t>ủy</w:t>
      </w:r>
      <w:r>
        <w:rPr>
          <w:lang w:val="vi-VN"/>
        </w:rPr>
        <w:t xml:space="preserve"> sản: Tỷ lệ phần trăm (%) tính đơn giá thuê đất một năm là 0,5 % giá đất tính thu tiền thuê đất.</w:t>
      </w:r>
    </w:p>
    <w:p w:rsidR="00DE5BBD" w:rsidRDefault="00DE5BBD" w:rsidP="00DE5BBD">
      <w:pPr>
        <w:pStyle w:val="NormalWeb"/>
        <w:spacing w:before="120" w:beforeAutospacing="0"/>
      </w:pPr>
      <w:r>
        <w:rPr>
          <w:b/>
          <w:bCs/>
          <w:lang w:val="vi-VN"/>
        </w:rPr>
        <w:t>Điều 2.</w:t>
      </w:r>
      <w:r>
        <w:rPr>
          <w:lang w:val="vi-VN"/>
        </w:rPr>
        <w:t xml:space="preserve"> Quyết định có hiệu lực từ ngày ban hành. Đối với các trường hợp xác định đơn giá thuê đất từ ngày 27/12/2015 (ngày hiệu lực Nghị định số 118/2015/NĐ-CP ngày 12/11/2015 của </w:t>
      </w:r>
      <w:r>
        <w:rPr>
          <w:lang w:val="vi-VN"/>
        </w:rPr>
        <w:lastRenderedPageBreak/>
        <w:t>Chính phủ) đến thời điểm quyết định này có hiệu lực: tỷ lệ phần trăm (%) đ</w:t>
      </w:r>
      <w:r>
        <w:t>ơ</w:t>
      </w:r>
      <w:r>
        <w:rPr>
          <w:lang w:val="vi-VN"/>
        </w:rPr>
        <w:t>n giá thuê đất áp dụng theo quy định tại Điều 1 nêu trên.</w:t>
      </w:r>
    </w:p>
    <w:p w:rsidR="00DE5BBD" w:rsidRDefault="00DE5BBD" w:rsidP="00DE5BBD">
      <w:pPr>
        <w:pStyle w:val="NormalWeb"/>
        <w:spacing w:before="120" w:beforeAutospacing="0"/>
      </w:pPr>
      <w:r>
        <w:rPr>
          <w:b/>
          <w:bCs/>
          <w:lang w:val="vi-VN"/>
        </w:rPr>
        <w:t>Điều 3.</w:t>
      </w:r>
      <w:r>
        <w:rPr>
          <w:lang w:val="vi-VN"/>
        </w:rPr>
        <w:t xml:space="preserve"> Chánh Văn phòng </w:t>
      </w:r>
      <w:r>
        <w:t xml:space="preserve">UBND </w:t>
      </w:r>
      <w:proofErr w:type="spellStart"/>
      <w:r>
        <w:t>Thành</w:t>
      </w:r>
      <w:proofErr w:type="spellEnd"/>
      <w:r>
        <w:t xml:space="preserve"> </w:t>
      </w:r>
      <w:proofErr w:type="spellStart"/>
      <w:r>
        <w:t>phố</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các</w:t>
      </w:r>
      <w:proofErr w:type="spellEnd"/>
      <w:r>
        <w:t xml:space="preserve"> </w:t>
      </w:r>
      <w:proofErr w:type="spellStart"/>
      <w:r>
        <w:t>Sở</w:t>
      </w:r>
      <w:proofErr w:type="spellEnd"/>
      <w:r>
        <w:t xml:space="preserve">: </w:t>
      </w:r>
      <w:proofErr w:type="spellStart"/>
      <w:r>
        <w:t>Tài</w:t>
      </w:r>
      <w:proofErr w:type="spellEnd"/>
      <w:r>
        <w:t xml:space="preserve"> </w:t>
      </w:r>
      <w:r>
        <w:rPr>
          <w:lang w:val="vi-VN"/>
        </w:rPr>
        <w:t xml:space="preserve">chính, Tài nguyên và Môi trường, </w:t>
      </w:r>
      <w:proofErr w:type="spellStart"/>
      <w:r>
        <w:t>Xây</w:t>
      </w:r>
      <w:proofErr w:type="spellEnd"/>
      <w:r>
        <w:t xml:space="preserve"> </w:t>
      </w:r>
      <w:proofErr w:type="spellStart"/>
      <w:r>
        <w:t>dựng</w:t>
      </w:r>
      <w:proofErr w:type="spellEnd"/>
      <w:r>
        <w:t xml:space="preserve">; </w:t>
      </w:r>
      <w:proofErr w:type="spellStart"/>
      <w:r>
        <w:t>Cục</w:t>
      </w:r>
      <w:proofErr w:type="spellEnd"/>
      <w:r>
        <w:t xml:space="preserve"> </w:t>
      </w:r>
      <w:proofErr w:type="spellStart"/>
      <w:r>
        <w:t>trưởng</w:t>
      </w:r>
      <w:proofErr w:type="spellEnd"/>
      <w:r>
        <w:t xml:space="preserve"> </w:t>
      </w:r>
      <w:proofErr w:type="spellStart"/>
      <w:r>
        <w:t>Cục</w:t>
      </w:r>
      <w:proofErr w:type="spellEnd"/>
      <w:r>
        <w:t xml:space="preserve"> </w:t>
      </w:r>
      <w:proofErr w:type="spellStart"/>
      <w:r>
        <w:t>Thuế</w:t>
      </w:r>
      <w:proofErr w:type="spellEnd"/>
      <w:r>
        <w:t xml:space="preserve"> </w:t>
      </w:r>
      <w:proofErr w:type="spellStart"/>
      <w:r>
        <w:t>thành</w:t>
      </w:r>
      <w:proofErr w:type="spellEnd"/>
      <w:r>
        <w:t xml:space="preserve"> </w:t>
      </w:r>
      <w:proofErr w:type="spellStart"/>
      <w:r>
        <w:t>phố</w:t>
      </w:r>
      <w:proofErr w:type="spellEnd"/>
      <w:r>
        <w:t xml:space="preserve"> </w:t>
      </w:r>
      <w:r>
        <w:rPr>
          <w:lang w:val="vi-VN"/>
        </w:rPr>
        <w:t xml:space="preserve">Hà Nội, Chủ tịch UBND các quận, </w:t>
      </w:r>
      <w:proofErr w:type="spellStart"/>
      <w:r>
        <w:t>huyện</w:t>
      </w:r>
      <w:proofErr w:type="spellEnd"/>
      <w:r>
        <w:t xml:space="preserve">, </w:t>
      </w:r>
      <w:proofErr w:type="spellStart"/>
      <w:r>
        <w:t>thị</w:t>
      </w:r>
      <w:proofErr w:type="spellEnd"/>
      <w:r>
        <w:t xml:space="preserve"> </w:t>
      </w:r>
      <w:proofErr w:type="spellStart"/>
      <w:r>
        <w:t>xã</w:t>
      </w:r>
      <w:proofErr w:type="spellEnd"/>
      <w:r>
        <w:t xml:space="preserve"> </w:t>
      </w:r>
      <w:proofErr w:type="spellStart"/>
      <w:r>
        <w:t>và</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cá</w:t>
      </w:r>
      <w:proofErr w:type="spellEnd"/>
      <w:r>
        <w:t xml:space="preserve"> </w:t>
      </w:r>
      <w:r>
        <w:rPr>
          <w:lang w:val="vi-VN"/>
        </w:rPr>
        <w:t xml:space="preserve">nhân liên quan chịu trách nhiệm thi </w:t>
      </w:r>
      <w:proofErr w:type="spellStart"/>
      <w:r>
        <w:t>hành</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w:t>
      </w:r>
    </w:p>
    <w:p w:rsidR="00DE5BBD" w:rsidRDefault="00DE5BBD" w:rsidP="00DE5BBD">
      <w:pPr>
        <w:pStyle w:val="NormalWeb"/>
        <w:spacing w:before="120" w:beforeAutospacing="0"/>
      </w:pPr>
      <w:r>
        <w:t> </w:t>
      </w:r>
    </w:p>
    <w:tbl>
      <w:tblPr>
        <w:tblW w:w="0" w:type="auto"/>
        <w:tblCellMar>
          <w:left w:w="0" w:type="dxa"/>
          <w:right w:w="0" w:type="dxa"/>
        </w:tblCellMar>
        <w:tblLook w:val="04A0"/>
      </w:tblPr>
      <w:tblGrid>
        <w:gridCol w:w="4428"/>
        <w:gridCol w:w="4428"/>
      </w:tblGrid>
      <w:tr w:rsidR="00DE5BBD" w:rsidTr="00B60130">
        <w:tc>
          <w:tcPr>
            <w:tcW w:w="4428" w:type="dxa"/>
            <w:tcMar>
              <w:top w:w="0" w:type="dxa"/>
              <w:left w:w="108" w:type="dxa"/>
              <w:bottom w:w="0" w:type="dxa"/>
              <w:right w:w="108" w:type="dxa"/>
            </w:tcMar>
            <w:hideMark/>
          </w:tcPr>
          <w:p w:rsidR="00DE5BBD" w:rsidRDefault="00DE5BBD" w:rsidP="00B60130">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Điều 3;</w:t>
            </w:r>
            <w:r>
              <w:rPr>
                <w:sz w:val="16"/>
                <w:szCs w:val="16"/>
                <w:lang w:val="vi-VN"/>
              </w:rPr>
              <w:br/>
              <w:t xml:space="preserve">- Thường trực Thành </w:t>
            </w:r>
            <w:r>
              <w:rPr>
                <w:sz w:val="16"/>
                <w:szCs w:val="16"/>
                <w:shd w:val="clear" w:color="auto" w:fill="FFFFFF"/>
                <w:lang w:val="vi-VN"/>
              </w:rPr>
              <w:t>ủy</w:t>
            </w:r>
            <w:r>
              <w:rPr>
                <w:sz w:val="16"/>
                <w:szCs w:val="16"/>
                <w:lang w:val="vi-VN"/>
              </w:rPr>
              <w:t>;</w:t>
            </w:r>
            <w:r>
              <w:rPr>
                <w:sz w:val="16"/>
                <w:szCs w:val="16"/>
                <w:lang w:val="vi-VN"/>
              </w:rPr>
              <w:br/>
              <w:t>- Thường trực HĐND Thành phố;</w:t>
            </w:r>
            <w:r>
              <w:rPr>
                <w:sz w:val="16"/>
                <w:szCs w:val="16"/>
                <w:lang w:val="vi-VN"/>
              </w:rPr>
              <w:br/>
              <w:t xml:space="preserve">- Chủ tịch </w:t>
            </w:r>
            <w:r>
              <w:rPr>
                <w:sz w:val="16"/>
                <w:szCs w:val="16"/>
              </w:rPr>
              <w:t>U</w:t>
            </w:r>
            <w:r>
              <w:rPr>
                <w:sz w:val="16"/>
                <w:szCs w:val="16"/>
                <w:lang w:val="vi-VN"/>
              </w:rPr>
              <w:t>BND Thành phố;</w:t>
            </w:r>
            <w:r>
              <w:rPr>
                <w:sz w:val="16"/>
                <w:szCs w:val="16"/>
                <w:lang w:val="vi-VN"/>
              </w:rPr>
              <w:br/>
              <w:t>- Các Phó Chủ tịch UBND Thành phố;</w:t>
            </w:r>
            <w:r>
              <w:rPr>
                <w:sz w:val="16"/>
                <w:szCs w:val="16"/>
                <w:lang w:val="vi-VN"/>
              </w:rPr>
              <w:br/>
              <w:t>- VPUB: Các PCVP; Các phòng CV;</w:t>
            </w:r>
            <w:r>
              <w:rPr>
                <w:sz w:val="16"/>
                <w:szCs w:val="16"/>
                <w:lang w:val="vi-VN"/>
              </w:rPr>
              <w:br/>
              <w:t>- Lưu: VT, KT</w:t>
            </w:r>
            <w:r>
              <w:rPr>
                <w:sz w:val="16"/>
                <w:szCs w:val="16"/>
                <w:vertAlign w:val="subscript"/>
              </w:rPr>
              <w:t>C</w:t>
            </w:r>
            <w:r>
              <w:rPr>
                <w:sz w:val="16"/>
                <w:szCs w:val="16"/>
              </w:rPr>
              <w:t xml:space="preserve"> </w:t>
            </w:r>
            <w:r>
              <w:rPr>
                <w:sz w:val="16"/>
                <w:szCs w:val="16"/>
                <w:vertAlign w:val="subscript"/>
                <w:lang w:val="vi-VN"/>
              </w:rPr>
              <w:t>(</w:t>
            </w:r>
            <w:r>
              <w:rPr>
                <w:sz w:val="16"/>
                <w:szCs w:val="16"/>
                <w:vertAlign w:val="subscript"/>
              </w:rPr>
              <w:t>1</w:t>
            </w:r>
            <w:r>
              <w:rPr>
                <w:sz w:val="16"/>
                <w:szCs w:val="16"/>
                <w:vertAlign w:val="subscript"/>
                <w:lang w:val="vi-VN"/>
              </w:rPr>
              <w:t>30b)</w:t>
            </w:r>
          </w:p>
        </w:tc>
        <w:tc>
          <w:tcPr>
            <w:tcW w:w="4428" w:type="dxa"/>
            <w:tcMar>
              <w:top w:w="0" w:type="dxa"/>
              <w:left w:w="108" w:type="dxa"/>
              <w:bottom w:w="0" w:type="dxa"/>
              <w:right w:w="108" w:type="dxa"/>
            </w:tcMar>
            <w:hideMark/>
          </w:tcPr>
          <w:p w:rsidR="00DE5BBD" w:rsidRDefault="00DE5BBD" w:rsidP="00B60130">
            <w:pPr>
              <w:pStyle w:val="NormalWeb"/>
              <w:spacing w:before="120" w:beforeAutospacing="0"/>
              <w:jc w:val="center"/>
            </w:pPr>
            <w:r>
              <w:rPr>
                <w:b/>
                <w:bCs/>
                <w:lang w:val="vi-VN"/>
              </w:rPr>
              <w:t>TM. ỦY BAN NHÂN D</w:t>
            </w:r>
            <w:r>
              <w:rPr>
                <w:b/>
                <w:bCs/>
              </w:rPr>
              <w:t>ÂN</w:t>
            </w:r>
            <w:r>
              <w:rPr>
                <w:b/>
                <w:bCs/>
              </w:rPr>
              <w:br/>
            </w:r>
            <w:r>
              <w:rPr>
                <w:b/>
                <w:bCs/>
                <w:lang w:val="vi-VN"/>
              </w:rPr>
              <w:t>KT. CHỦ TỊCH</w:t>
            </w:r>
            <w:r>
              <w:rPr>
                <w:b/>
                <w:bCs/>
              </w:rPr>
              <w:br/>
              <w:t>PHÓ CHỦ TỊCH</w:t>
            </w:r>
            <w:r>
              <w:rPr>
                <w:b/>
                <w:bCs/>
              </w:rPr>
              <w:br/>
            </w:r>
            <w:r>
              <w:rPr>
                <w:b/>
                <w:bCs/>
              </w:rPr>
              <w:br/>
            </w:r>
            <w:r>
              <w:rPr>
                <w:b/>
                <w:bCs/>
              </w:rPr>
              <w:br/>
            </w:r>
            <w:r>
              <w:rPr>
                <w:b/>
                <w:bCs/>
              </w:rPr>
              <w:br/>
            </w:r>
            <w:r>
              <w:rPr>
                <w:b/>
                <w:bCs/>
              </w:rPr>
              <w:br/>
            </w:r>
            <w:r>
              <w:rPr>
                <w:b/>
                <w:bCs/>
                <w:lang w:val="vi-VN"/>
              </w:rPr>
              <w:t>Nguyễn Doãn Toản</w:t>
            </w:r>
          </w:p>
        </w:tc>
      </w:tr>
    </w:tbl>
    <w:p w:rsidR="00DE5BBD" w:rsidRDefault="00DE5BBD" w:rsidP="00DE5BBD">
      <w:pPr>
        <w:pStyle w:val="NormalWeb"/>
        <w:spacing w:before="120" w:beforeAutospacing="0"/>
      </w:pPr>
      <w:r>
        <w:rPr>
          <w:lang w:val="vi-VN"/>
        </w:rPr>
        <w:t> </w:t>
      </w:r>
    </w:p>
    <w:p w:rsidR="00640396" w:rsidRDefault="00640396"/>
    <w:sectPr w:rsidR="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E5BBD"/>
    <w:rsid w:val="00640396"/>
    <w:rsid w:val="00BE26CC"/>
    <w:rsid w:val="00DE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B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B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2019-05-10T04:05:00Z</dcterms:created>
  <dcterms:modified xsi:type="dcterms:W3CDTF">2019-05-10T04:05:00Z</dcterms:modified>
</cp:coreProperties>
</file>