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5"/>
        <w:gridCol w:w="5287"/>
      </w:tblGrid>
      <w:tr w:rsidR="003D11FC" w:rsidTr="003D11FC">
        <w:trPr>
          <w:tblCellSpacing w:w="0" w:type="dxa"/>
        </w:trPr>
        <w:tc>
          <w:tcPr>
            <w:tcW w:w="3348" w:type="dxa"/>
            <w:shd w:val="clear" w:color="auto" w:fill="FFFFFF"/>
            <w:tcMar>
              <w:top w:w="0" w:type="dxa"/>
              <w:left w:w="108" w:type="dxa"/>
              <w:bottom w:w="0" w:type="dxa"/>
              <w:right w:w="108" w:type="dxa"/>
            </w:tcMar>
            <w:hideMark/>
          </w:tcPr>
          <w:p w:rsidR="003D11FC" w:rsidRDefault="003D11F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LAO ĐỘNG - THƯƠNG BINH VÀ XÃ HỘI</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D11FC" w:rsidRDefault="003D11F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3D11FC" w:rsidTr="003D11FC">
        <w:trPr>
          <w:tblCellSpacing w:w="0" w:type="dxa"/>
        </w:trPr>
        <w:tc>
          <w:tcPr>
            <w:tcW w:w="3348" w:type="dxa"/>
            <w:shd w:val="clear" w:color="auto" w:fill="FFFFFF"/>
            <w:tcMar>
              <w:top w:w="0" w:type="dxa"/>
              <w:left w:w="108" w:type="dxa"/>
              <w:bottom w:w="0" w:type="dxa"/>
              <w:right w:w="108" w:type="dxa"/>
            </w:tcMar>
            <w:hideMark/>
          </w:tcPr>
          <w:p w:rsidR="003D11FC" w:rsidRDefault="003D11F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4759/VBHN-BLĐTBXH</w:t>
            </w:r>
          </w:p>
        </w:tc>
        <w:tc>
          <w:tcPr>
            <w:tcW w:w="5508" w:type="dxa"/>
            <w:shd w:val="clear" w:color="auto" w:fill="FFFFFF"/>
            <w:tcMar>
              <w:top w:w="0" w:type="dxa"/>
              <w:left w:w="108" w:type="dxa"/>
              <w:bottom w:w="0" w:type="dxa"/>
              <w:right w:w="108" w:type="dxa"/>
            </w:tcMar>
            <w:hideMark/>
          </w:tcPr>
          <w:p w:rsidR="003D11FC" w:rsidRDefault="003D11F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12 tháng 11 năm 2018</w:t>
            </w:r>
          </w:p>
        </w:tc>
      </w:tr>
    </w:tbl>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D11FC" w:rsidRDefault="003D11FC" w:rsidP="003D11F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rsidR="003D11FC" w:rsidRDefault="003D11FC" w:rsidP="003D11F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CHI TIẾT THI HÀNH MỘT SỐ ĐIỀU CỦA BỘ LUẬT LAO ĐỘNG VỀ TIỀN LƯƠNG</w:t>
      </w:r>
      <w:bookmarkEnd w:id="1"/>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Nghị định số </w:t>
      </w:r>
      <w:hyperlink r:id="rId6" w:tgtFrame="_blank" w:tooltip="Nghị định 49/2013/NĐ-CP" w:history="1">
        <w:r>
          <w:rPr>
            <w:rStyle w:val="Hyperlink"/>
            <w:rFonts w:ascii="Arial" w:hAnsi="Arial" w:cs="Arial"/>
            <w:color w:val="0E70C3"/>
            <w:sz w:val="18"/>
            <w:szCs w:val="18"/>
            <w:u w:val="none"/>
          </w:rPr>
          <w:t>49/2013/NĐ-CP</w:t>
        </w:r>
      </w:hyperlink>
      <w:r>
        <w:rPr>
          <w:rFonts w:ascii="Arial" w:hAnsi="Arial" w:cs="Arial"/>
          <w:color w:val="000000"/>
          <w:sz w:val="18"/>
          <w:szCs w:val="18"/>
        </w:rPr>
        <w:t> ngày 14 tháng 5 năm 2013 của Chính phủ quy định chi tiết thi hành một số điều của Bộ luật Lao động về tiền lương, có hiệu lực kể từ ngày 01 tháng 7 năm 2013, được sửa đổi, bổ sung bởi:</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Nghị định số </w:t>
      </w:r>
      <w:hyperlink r:id="rId7" w:tgtFrame="_blank" w:tooltip="Nghị định 121/2018/NĐ-CP" w:history="1">
        <w:r>
          <w:rPr>
            <w:rStyle w:val="Hyperlink"/>
            <w:rFonts w:ascii="Arial" w:hAnsi="Arial" w:cs="Arial"/>
            <w:color w:val="0E70C3"/>
            <w:sz w:val="18"/>
            <w:szCs w:val="18"/>
            <w:u w:val="none"/>
          </w:rPr>
          <w:t>121/2018/NĐ-CP</w:t>
        </w:r>
      </w:hyperlink>
      <w:r>
        <w:rPr>
          <w:rFonts w:ascii="Arial" w:hAnsi="Arial" w:cs="Arial"/>
          <w:color w:val="000000"/>
          <w:sz w:val="18"/>
          <w:szCs w:val="18"/>
        </w:rPr>
        <w:t> ngày 13 tháng 9 năm 2018 của Chính phủ sửa đổi, bổ sung một số điều của Nghị định số </w:t>
      </w:r>
      <w:hyperlink r:id="rId8" w:tgtFrame="_blank" w:tooltip="Nghị định 49/2013/NĐ-CP" w:history="1">
        <w:r>
          <w:rPr>
            <w:rStyle w:val="Hyperlink"/>
            <w:rFonts w:ascii="Arial" w:hAnsi="Arial" w:cs="Arial"/>
            <w:color w:val="0E70C3"/>
            <w:sz w:val="18"/>
            <w:szCs w:val="18"/>
            <w:u w:val="none"/>
          </w:rPr>
          <w:t>49/2013/NĐ-CP</w:t>
        </w:r>
      </w:hyperlink>
      <w:r>
        <w:rPr>
          <w:rFonts w:ascii="Arial" w:hAnsi="Arial" w:cs="Arial"/>
          <w:color w:val="000000"/>
          <w:sz w:val="18"/>
          <w:szCs w:val="18"/>
        </w:rPr>
        <w:t> ngày 14 tháng 5 năm 2013 của Chính phủ quy định chi tiết thi hành một số điều của Bộ luật Lao động về tiền lương, có hiệu lực kể từ ngày 01 tháng 11 năm 2018.</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Lao động - Thương binh và Xã hội;</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quy định chi tiết thi hành một số điều của Bộ luật Lao động về tiền lương</w:t>
      </w:r>
      <w:hyperlink r:id="rId9" w:anchor="_ftn1" w:history="1">
        <w:r>
          <w:rPr>
            <w:rStyle w:val="Hyperlink"/>
            <w:rFonts w:ascii="Arial" w:hAnsi="Arial" w:cs="Arial"/>
            <w:i/>
            <w:iCs/>
            <w:color w:val="000000"/>
            <w:sz w:val="18"/>
            <w:szCs w:val="18"/>
            <w:u w:val="none"/>
          </w:rPr>
          <w:t>1</w:t>
        </w:r>
      </w:hyperlink>
      <w:r>
        <w:rPr>
          <w:rFonts w:ascii="Arial" w:hAnsi="Arial" w:cs="Arial"/>
          <w:i/>
          <w:iCs/>
          <w:color w:val="000000"/>
          <w:sz w:val="18"/>
          <w:szCs w:val="18"/>
        </w:rPr>
        <w:t>.</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3D11FC" w:rsidRDefault="003D11FC" w:rsidP="003D11F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quy định chức năng, nhiệm vụ và cơ cấu tổ chức của Hội đồng tiền lương quốc gia theo quy định tại Khoản 2 Điều 92; nguyên tắc xây dựng thang lương, bảng lương và định mức lao động theo quy định tại Khoản 1 Điều 93 của Bộ luật Lao động.</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Thành viên Hội đồng tiền lương quốc gia theo quy định tại Khoản 1 Điều 92 của Bộ luật Lao động.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làm việc theo chế độ hợp đồng lao động quy định tại Khoản 1, Điều 3 của Bộ luật Lao động.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theo quy định tại Khoản 2, Điều 3 của Bộ luật Lao động (sau đây gọi chung là doanh nghiệp).</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cơ quan, tổ chức và cá nhân có liên quan đến quy định và thực hiện chức năng, nhiệm vụ, cơ cấu tổ chức của Hội đồng tiền lương quốc gia và xây dựng thang lương, bảng lương, định mức lao động theo quy định tại Nghị định này.</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chuong_2"/>
      <w:r>
        <w:rPr>
          <w:rFonts w:ascii="Arial" w:hAnsi="Arial" w:cs="Arial"/>
          <w:b/>
          <w:bCs/>
          <w:color w:val="000000"/>
          <w:sz w:val="18"/>
          <w:szCs w:val="18"/>
        </w:rPr>
        <w:t>Chương II</w:t>
      </w:r>
      <w:bookmarkEnd w:id="6"/>
    </w:p>
    <w:p w:rsidR="003D11FC" w:rsidRDefault="003D11FC" w:rsidP="003D11F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chuong_2_name"/>
      <w:r>
        <w:rPr>
          <w:rFonts w:ascii="Arial" w:hAnsi="Arial" w:cs="Arial"/>
          <w:b/>
          <w:bCs/>
          <w:color w:val="000000"/>
        </w:rPr>
        <w:t>HỘI ĐỒNG TIỀN LƯƠNG QUỐC GIA</w:t>
      </w:r>
      <w:bookmarkEnd w:id="7"/>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3"/>
      <w:r>
        <w:rPr>
          <w:rFonts w:ascii="Arial" w:hAnsi="Arial" w:cs="Arial"/>
          <w:b/>
          <w:bCs/>
          <w:color w:val="000000"/>
          <w:sz w:val="18"/>
          <w:szCs w:val="18"/>
        </w:rPr>
        <w:t>Điều 3. Chức năng của Hội đồng tiền lương quốc gia</w:t>
      </w:r>
      <w:bookmarkEnd w:id="8"/>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tiền lương quốc gia thực hiện chức năng tư vấn cho Chính phủ về điều chỉnh, công bố mức lương tối thiểu vùng.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Thủ tướng Chính phủ quyết định thành lập Hội đồng tiền lương quốc gia.</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b/>
          <w:bCs/>
          <w:color w:val="000000"/>
          <w:sz w:val="18"/>
          <w:szCs w:val="18"/>
        </w:rPr>
        <w:t>Điều 4. Nhiệm vụ của Hội đồng tiền lương quốc gia</w:t>
      </w:r>
      <w:bookmarkEnd w:id="9"/>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Phân tích tình hình kinh tế - xã hội, mức sống dân cư để xác định, dự báo nhu cầu sống tối thiểu của người lao động và gia đình họ; đánh giá tình hình thực hiện mức lương tối thiểu vùng, mức tiền lương trên thị trường lao động và khả năng chi trả của doanh nghiệp để xây dựng và khuyến nghị với Chính phủ phương án tiền lương tối thiểu vùng hàng năm và từng thời kỳ.</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Nghiên cứu, khuyến nghị với Chính phủ mức lương tối thiểu theo giờ áp dụng đối với một số nghề, công việc không thường xuyên hoặc làm việc không trọn thời gian.</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Tổ chức rà soát, đánh giá việc phân vùng địa bàn áp dụng mức lương tối thiểu vùng để khuyến nghị với Chính phủ điều chỉnh, bổ sung phân vùng địa bàn áp dụng mức lương tối thiểu vùng.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Khảo sát thực tiễn, nghiên cứu kinh nghiệm nước ngoài để nâng cao năng lực và hiệu quả tư vấn, khuyến nghị về tiền lương tối thiểu.</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Nghiên cứu, tư vấn các vấn đề khác liên quan đến chính sách tiền lương theo yêu cầu của Chính phủ, Thủ tướng Chính phủ.</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rPr>
        <w:t>Điều 5. Cơ cấu tổ chức của Hội đồng tiền lương quốc gia</w:t>
      </w:r>
      <w:bookmarkEnd w:id="10"/>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tiền lương quốc gia có 15 thành viên, bao gồm: 05 thành viên đại diện của Bộ Lao động - Thương binh và Xã hội, 05 thành viên đại diện của Tổng Liên đoàn Lao động Việt Nam và 05 thành viên đại diện của tổ chức đại diện người sử dụng lao động ở trung ương, trong đó:</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tịch Hội đồng là một Thứ trưởng Bộ Lao động - Thương binh và Xã hội;</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Ba Phó Chủ tịch Hội đồng, gồm: Một Phó Chủ tịch Hội đồng là Phó Chủ tịch Tổng Liên đoàn Lao động Việt Nam, một Phó Chủ tịch Hội đồng là Phó Chủ tịch Phòng Thương mại và Công nghiệp Việt Nam và một Phó Chủ tịch Hội đồng là Phó Chủ tịch Liên minh Hợp tác xã Việt Nam;</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ủy viên Hội đồng, bao gồm: Bốn ủy viên Hội đồng là đại diện của Bộ Lao động - Thương binh và Xã hội; bốn ủy viên Hội đồng là đại diện của Tổng Liên đoàn Lao động Việt Nam; một ủy viên Hội đồng là đại diện của Hiệp hội doanh nghiệp nhỏ và vừa Việt Nam; hai ủy viên Hội đồng là đại diện của hai hiệp hội ngành nghề ở Trung ương có sử dụng nhiều lao động.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Thủ tướng Chính phủ bổ nhiệm Chủ tịch và các Phó Chủ tịch Hội đồng tiền lương quốc gia theo đề nghị của Bộ trưởng Bộ Lao động - Thương binh và Xã hội và ủy quyền cho Bộ trưởng Bộ Lao động - Thương binh và Xã hội bổ nhiệm các ủy viên Hội đồng tiền lương quốc gia.</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Chủ tịch, các Phó Chủ tịch và Ủy viên Hội đồng tiền lương quốc gia là người có chuyên môn, kinh nghiệm trong lĩnh vực lao động, tiền lương; có trình độ, năng lực để xem xét, đề xuất những kiến nghị yêu cầu của cơ quan do mình đại diện và có điều kiện tham gia các hoạt động của Hội đồng tiền lương quốc gia. Chủ tịch, các Phó Chủ tịch và ủy viên Hội đồng tiền lương quốc gia làm việc theo chế độ kiêm nhiệm, nhiệm kỳ là 05 năm.</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Hội đồng tiền lương quốc gia có bộ phận kỹ thuật và bộ phận thường trực giúp Hội đồng nghiên cứu, khảo sát, tổng hợp, xây dựng phương án tiền lương tối thiểu vùng, phân vùng áp dụng mức lương tối thiểu để đưa ra thảo luận tại Hội đồng và thực hiện công tác hành chính của Hội đồng.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Kinh phí hoạt động của Hội đồng tiền lương quốc gia do ngân sách nhà nước bảo đảm, được bố trí trong dự toán ngân sách hàng năm của Bộ Lao động - Thương binh và Xã hội và các nguồn huy động hợp pháp khác theo quy định của pháp luật.</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rPr>
        <w:t>Điều 6. Quy chế làm việc của Hội đồng tiền lương quốc gia</w:t>
      </w:r>
      <w:bookmarkEnd w:id="11"/>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tịch Hội đồng tiền lương quốc gia quy định quy chế làm việc của Hội đồng tiền lương quốc gia, bộ phận kỹ thuật và bộ phận thường trực.</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Chủ tịch Hội đồng tiền lương quốc gia được mời các chuyên gia, các nhà khoa học, nhà nghiên cứu của các Bộ, ngành, các viện nghiên cứu, trường đại học để tham vấn ý kiến hoặc tham gia các cuộc họp của Hội đồng.</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huong_3"/>
      <w:r>
        <w:rPr>
          <w:rFonts w:ascii="Arial" w:hAnsi="Arial" w:cs="Arial"/>
          <w:b/>
          <w:bCs/>
          <w:color w:val="000000"/>
          <w:sz w:val="18"/>
          <w:szCs w:val="18"/>
        </w:rPr>
        <w:t>Chương III</w:t>
      </w:r>
      <w:bookmarkEnd w:id="12"/>
    </w:p>
    <w:p w:rsidR="003D11FC" w:rsidRDefault="003D11FC" w:rsidP="003D11F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chuong_3_name"/>
      <w:r>
        <w:rPr>
          <w:rFonts w:ascii="Arial" w:hAnsi="Arial" w:cs="Arial"/>
          <w:b/>
          <w:bCs/>
          <w:color w:val="000000"/>
        </w:rPr>
        <w:t>NGUYÊN TẮC XÂY DỰNG THANG LƯƠNG, BẢNG LƯƠNG VÀ ĐỊNH MỨC LAO ĐỘNG</w:t>
      </w:r>
      <w:bookmarkEnd w:id="13"/>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18"/>
          <w:szCs w:val="18"/>
        </w:rPr>
        <w:t>Điều 7. Nguyên tắc xây dựng thang lương, bảng lương</w:t>
      </w:r>
      <w:bookmarkEnd w:id="14"/>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Căn cứ vào tổ chức sản xuất, tổ chức lao động, doanh nghiệp xây dựng và quyết định thang lương, bảng lương đối với lao động quản lý, lao động chuyên môn kỹ thuật, nghiệp vụ và công nhân trực tiếp sản xuất, kinh doanh, phục vụ.</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Bội số của thang lương là hệ số chênh lệch giữa mức lương của công việc hoặc chức danh có yêu cầu trình độ kỹ thuật cao nhất so với mức lương của công việc hoặc chức danh có yêu cầu trình độ kỹ thuật thấp nhất, số bậc của thang lương, bảng lương phụ thuộc vào độ phức tạp quản lý, cấp bậc công việc hoặc chức danh đòi hỏi. Khoảng cách chênh lệch giữa hai bậc lương liền kề phải bảo đảm khuyến </w:t>
      </w:r>
      <w:r>
        <w:rPr>
          <w:rFonts w:ascii="Arial" w:hAnsi="Arial" w:cs="Arial"/>
          <w:color w:val="000000"/>
          <w:sz w:val="18"/>
          <w:szCs w:val="18"/>
        </w:rPr>
        <w:lastRenderedPageBreak/>
        <w:t>khích người lao động nâng cao trình độ chuyên môn, kỹ thuật, nghiệp vụ, tích lũy kinh nghiệm, phát triển tài năng nhưng ít nhất bằng 5%.</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lương thấp nhất (khởi điểm) của công việc hoặc chức danh trong thang lương, bảng lương do công ty xác định trên cơ sở mức độ phức tạp của công việc hoặc chức danh tương ứng với trình độ, kỹ năng, trách nhiệm, kinh nghiệm để thực hiện công việc hoặc chức danh, trong đó:</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lương thấp nhất của công việc hoặc chức danh giản đơn nhất trong điều kiện lao động bình thường không được thấp hơn mức lương tối thiểu vùng do Chính phủ quy định;</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Mức lương thấp nhất của công việc hoặc chức danh đòi hỏi lao động qua đào tạo, học nghề (kể cả lao động do doanh nghiệp tự dạy nghề) phải cao hơn ít nhất 7% so với mức lương tối thiểu vùng do Chính phủ quy định;</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Mức lương của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 xây dựng và áp dụng thang lương, bảng lương phải bảo đảm bình đẳng, không phân biệt đối xử về giới tính, dân tộc, màu da, thành phần xã hội, tình trạng hôn nhân, tín ngưỡng, tôn giáo, nhiễm HIV, khuyết tật hoặc vì lý do thành lập, gia nhập và hoạt động công đoàn đối với người lao động, đồng thời phải xây dựng tiêu chuẩn để xếp lương, điều kiện nâng bậc lương.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Thang lương, bảng lương phải được định kỳ rà soát để sửa đổi, bổ sung cho phù hợp với điều kiện thực tế về đổi mới công nghệ, tổ chức sản xuất, tổ chức lao động, mặt bằng tiền lương trên thị trường lao động và bảo đảm các quy định của pháp luật lao động.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Khi xây dựng hoặc sửa đổi, bổ sung thang lương, bảng lương, doanh nghiệp phải tham khảo ý kiến của tổ chức đại diện tập thể người lao động tại doanh nghiệp và công bố công khai tại nơi làm việc của người lao động trước khi thực hiện, đồng thời gửi cơ quan quản lý nhà nước về lao động cấp huyện nơi đặt cơ sở sản xuất của doanh nghiệp. Đối với công ty trách nhiệm hữu hạn một thành viên do Nhà nước làm chủ sở hữu khi xây dựng hoặc sửa đổi, bổ sung thang lương, bảng lương phải báo cáo chủ sở hữu cho ý kiến trước khi thực hiện; đối với công ty mẹ - Tập đoàn kinh tế nhà nước, công ty mẹ của Tổng công ty hạng đặc biệt đồng thời gửi Bộ Lao động - Thương binh và Xã hội để theo dõi, giám sát.</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rPr>
        <w:t>Điều 8. Nguyên tắc xây dựng định mức lao động</w:t>
      </w:r>
      <w:bookmarkEnd w:id="15"/>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Doanh nghiệp xây dựng định mức lao động làm cơ sở để trả lương cho người lao động hưởng lương theo sản phẩm, đảm bảo các nguyên tắc sau đây</w:t>
      </w:r>
      <w:hyperlink r:id="rId10" w:anchor="_ftn2" w:history="1">
        <w:r>
          <w:rPr>
            <w:rStyle w:val="Hyperlink"/>
            <w:rFonts w:ascii="Arial" w:hAnsi="Arial" w:cs="Arial"/>
            <w:color w:val="000000"/>
            <w:sz w:val="18"/>
            <w:szCs w:val="18"/>
            <w:u w:val="none"/>
          </w:rPr>
          <w:t>2</w:t>
        </w:r>
      </w:hyperlink>
      <w:r>
        <w:rPr>
          <w:rFonts w:ascii="Arial" w:hAnsi="Arial" w:cs="Arial"/>
          <w:color w:val="000000"/>
          <w:sz w:val="18"/>
          <w:szCs w:val="18"/>
        </w:rPr>
        <w:t>:</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Định mức lao động được thực hiện cho từng bước công việc, từng công đoạn và toàn bộ quá trình sản xuất sản phẩm, dịch vụ trên cơ sở tổ chức lao động khoa học, tổ chức sản xuất hợp lý.</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lao động được xây dựng trên cơ sở cấp bậc của công việc hoặc chức danh, phù hợp với cấp bậc, trình độ đào tạo của người lao động, quy trình công nghệ, tiêu chuẩn kỹ thuật của máy móc thiết bị và bảo đảm các tiêu chuẩn lao động.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lao động phải là mức trung bình tiên tiến, bảo đảm số đông người lao động thực hiện được mà không phải kéo dài thời gian làm việc tiêu chuẩn của doanh nghiệp theo quy định của pháp luật.</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Mức lao động mới phải được áp dụng thử trước khi ban hành chính thức. Doanh nghiệp phải thông báo cho người lao động biết ít nhất 15 ngày trước khi áp dụng thử. Thời gian áp dụng thử tùy theo tính chất công việc, nhưng tối đa không quá 3 tháng và phải đánh giá việc thực hiện mức.</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trong thời gian làm việc tiêu chuẩn, mức thực tế thực hiện tính theo sản lượng thấp hơn 5% hoặc cao hơn 10% so với mức được giao, hoặc mức thực tế thực hiện tính theo thời gian cao hơn 5% hoặc thấp hơn 10% so với mức được giao thì doanh nghiệp phải điều chỉnh lại mức lao động.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Mức lao động phải được định kỳ rà soát, đánh giá để sửa đổi, bổ sung, điều chỉnh cho phù hợp. Khi xây dựng hoặc sửa đổi, bổ sung, điều chỉnh mức lao động, doanh nghiệp phải tham khảo ý kiến của tổ chức đại diện tập thể người lao động tại doanh nghiệp và công bố công khai tại nơi làm việc của người lao động trước khi thực hiện, đồng thời gửi cơ quan quản lý nhà nước về lao động cấp huyện nơi đặt cơ sở sản xuất của doanh nghiệp.</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chuong_4"/>
      <w:r>
        <w:rPr>
          <w:rFonts w:ascii="Arial" w:hAnsi="Arial" w:cs="Arial"/>
          <w:b/>
          <w:bCs/>
          <w:color w:val="000000"/>
          <w:sz w:val="18"/>
          <w:szCs w:val="18"/>
        </w:rPr>
        <w:t>Chương IV</w:t>
      </w:r>
      <w:bookmarkEnd w:id="16"/>
    </w:p>
    <w:p w:rsidR="003D11FC" w:rsidRDefault="003D11FC" w:rsidP="003D11F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7" w:name="chuong_4_name"/>
      <w:r>
        <w:rPr>
          <w:rFonts w:ascii="Arial" w:hAnsi="Arial" w:cs="Arial"/>
          <w:b/>
          <w:bCs/>
          <w:color w:val="000000"/>
        </w:rPr>
        <w:t>ĐIỀU KHOẢN THI HÀNH</w:t>
      </w:r>
      <w:bookmarkEnd w:id="17"/>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"https://thuvienphapluat.vn/van-ban/Lao-dong-Tien-luong/Van-ban-hop-nhat-4759-VBHN-BLDTBXH-2018-huong-dan-Bo-luat-Lao-dong-ve-tien-luong-399845.aspx" \l "_ftn3" </w:instrText>
      </w:r>
      <w:r>
        <w:rPr>
          <w:rFonts w:ascii="Arial" w:hAnsi="Arial" w:cs="Arial"/>
          <w:color w:val="000000"/>
          <w:sz w:val="18"/>
          <w:szCs w:val="18"/>
        </w:rPr>
        <w:fldChar w:fldCharType="separate"/>
      </w:r>
      <w:r>
        <w:rPr>
          <w:rStyle w:val="Hyperlink"/>
          <w:rFonts w:ascii="Arial" w:hAnsi="Arial" w:cs="Arial"/>
          <w:b/>
          <w:bCs/>
          <w:color w:val="000000"/>
          <w:sz w:val="18"/>
          <w:szCs w:val="18"/>
          <w:u w:val="none"/>
        </w:rPr>
        <w:t>3</w:t>
      </w:r>
      <w:r>
        <w:rPr>
          <w:rFonts w:ascii="Arial" w:hAnsi="Arial" w:cs="Arial"/>
          <w:color w:val="000000"/>
          <w:sz w:val="18"/>
          <w:szCs w:val="18"/>
        </w:rPr>
        <w:fldChar w:fldCharType="end"/>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9"/>
      <w:r>
        <w:rPr>
          <w:rFonts w:ascii="Arial" w:hAnsi="Arial" w:cs="Arial"/>
          <w:b/>
          <w:bCs/>
          <w:color w:val="000000"/>
          <w:sz w:val="18"/>
          <w:szCs w:val="18"/>
        </w:rPr>
        <w:lastRenderedPageBreak/>
        <w:t>Điều 9. Hiệu lực thi hành</w:t>
      </w:r>
      <w:bookmarkEnd w:id="18"/>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kể từ ngày 01 tháng 7 năm 2013. Các quy định tại Nghị định này được áp dụng từ ngày 01 tháng 5 năm 2013.</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Nghị định số </w:t>
      </w:r>
      <w:hyperlink r:id="rId11" w:tgtFrame="_blank" w:tooltip="Nghị định 114/2002/NĐ-CP" w:history="1">
        <w:r>
          <w:rPr>
            <w:rStyle w:val="Hyperlink"/>
            <w:rFonts w:ascii="Arial" w:hAnsi="Arial" w:cs="Arial"/>
            <w:color w:val="0E70C3"/>
            <w:sz w:val="18"/>
            <w:szCs w:val="18"/>
            <w:u w:val="none"/>
          </w:rPr>
          <w:t>114/2002/NĐ-CP</w:t>
        </w:r>
      </w:hyperlink>
      <w:r>
        <w:rPr>
          <w:rFonts w:ascii="Arial" w:hAnsi="Arial" w:cs="Arial"/>
          <w:color w:val="000000"/>
          <w:sz w:val="18"/>
          <w:szCs w:val="18"/>
        </w:rPr>
        <w:t> ngày 31 tháng 12 năm 2002 của Chính phủ quy định chi tiết và hướng dẫn thi hành một số điều của Bộ luật Lao động về tiền lương; Nghị định số </w:t>
      </w:r>
      <w:hyperlink r:id="rId12" w:tgtFrame="_blank" w:tooltip="Nghị định 205/2004/NĐ-CP" w:history="1">
        <w:r>
          <w:rPr>
            <w:rStyle w:val="Hyperlink"/>
            <w:rFonts w:ascii="Arial" w:hAnsi="Arial" w:cs="Arial"/>
            <w:color w:val="0E70C3"/>
            <w:sz w:val="18"/>
            <w:szCs w:val="18"/>
            <w:u w:val="none"/>
          </w:rPr>
          <w:t>205/2004/NĐ-CP</w:t>
        </w:r>
      </w:hyperlink>
      <w:r>
        <w:rPr>
          <w:rFonts w:ascii="Arial" w:hAnsi="Arial" w:cs="Arial"/>
          <w:color w:val="000000"/>
          <w:sz w:val="18"/>
          <w:szCs w:val="18"/>
        </w:rPr>
        <w:t>ngày 14 tháng 12 năm 2004 của Chính phủ quy định hệ thống thang lương, bảng lương và chế độ phụ cấp lương trong các công ty nhà nước hết hiệu lực thi hành kể từ ngày Nghị định này có hiệu lực thi hành.</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0"/>
      <w:r>
        <w:rPr>
          <w:rFonts w:ascii="Arial" w:hAnsi="Arial" w:cs="Arial"/>
          <w:b/>
          <w:bCs/>
          <w:color w:val="000000"/>
          <w:sz w:val="18"/>
          <w:szCs w:val="18"/>
        </w:rPr>
        <w:t>Điều 10. Trách nhiệm tổ chức thực hiện</w:t>
      </w:r>
      <w:bookmarkEnd w:id="19"/>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Trách nhiệm tổ chức thực hiện các quy định về chức năng, nhiệm vụ và cơ cấu tổ chức của Hội đồng tiền lương quốc gia:</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đứng đầu các cơ quan, tổ chức quy định tại Khoản 1 Điều 5 Nghị định này cử đại diện tham gia Hội đồng tiền lương quốc gia và gửi danh sách để Bộ Lao động - Thương binh và Xã hội tổng hợp;</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tịch Phòng Thương mại và Công nghiệp Việt Nam lựa chọn và đề nghị người đứng đầu hai hiệp hội ngành nghề ở Trung ương sử dụng nhiều lao động cử đại diện tham gia Hội đồng tiền lương quốc gia;</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Bộ trưởng Bộ Lao động - Thương binh và Xã hội tổng hợp và đề nghị Thủ tướng Chính phủ bổ nhiệm Chủ tịch, các Phó Chủ tịch Hội đồng tiền lương quốc gia; quyết định bổ nhiệm các ủy viên Hội đồng tiền lương quốc gia.</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Trách nhiệm tổ chức thực hiện việc xây dựng thang lương, bảng lương và định mức lao động.</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Doanh nghiệp tổ chức xây dựng hoặc rà soát sửa đổi bổ sung thang lương, bảng lương, định mức lao động và gửi cơ quan quản lý nhà nước về lao động cấp huyện nơi đặt cơ sở sản xuất, kinh doanh của doanh nghiệp để theo dõi, kiểm tra theo quy định tại Nghị định này. Trường hợp doanh nghiệp có nhiều đơn vị, chi nhánh hoạt động ở các địa bàn khác nhau thì sau khi xây dựng, quyết định thang lương, bảng lương và định mức lao động, doanh nghiệp gửi cơ quan quản lý nhà nước về lao động cấp huyện nơi đặt đơn vị, chi nhánh của doanh nghiệp để theo dõi, kiểm tra. Đối với doanh nghiệp sử dụng dưới 10 lao động được miễn thủ tục gửi thang lương, bảng lương, định mức lao động cho cơ quan quản lý nhà nước về lao động cấp huyện nơi đặt cơ sở sản xuất, kinh doanh của doanh nghiệp</w:t>
      </w:r>
      <w:hyperlink r:id="rId13" w:anchor="_ftn4" w:history="1">
        <w:r>
          <w:rPr>
            <w:rStyle w:val="Hyperlink"/>
            <w:rFonts w:ascii="Arial" w:hAnsi="Arial" w:cs="Arial"/>
            <w:color w:val="000000"/>
            <w:sz w:val="18"/>
            <w:szCs w:val="18"/>
            <w:u w:val="none"/>
          </w:rPr>
          <w:t>4</w:t>
        </w:r>
      </w:hyperlink>
      <w:r>
        <w:rPr>
          <w:rFonts w:ascii="Arial" w:hAnsi="Arial" w:cs="Arial"/>
          <w:color w:val="000000"/>
          <w:sz w:val="18"/>
          <w:szCs w:val="18"/>
        </w:rPr>
        <w:t>;</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quan quản lý nhà nước về lao động cấp huyện nơi đặt cơ sở sản xuất, kinh doanh của doanh nghiệp tiếp nhận thang lương, bảng lương, định mức lao động của doanh nghiệp theo quy định tại Khoản 2 Điều 93 Bộ luật Lao động; Khoản 6 Điều 7 và Khoản 5 Điều 8 của Nghị định này để rà soát, kiểm tra. Trường hợp phát hiện nội dung không đúng quy định thì phải có văn bản yêu cầu doanh nghiệp sửa đổi, điều chỉnh, bổ sung theo đúng quy định của pháp luật lao động;</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Ủy ban nhân dân tỉnh, thành phố trực thuộc Trung ương chỉ đạo Sở Lao động - Thương binh và Xã hội phối hợp với Liên đoàn lao động và các cơ quan liên quan tổ chức tuyên truyền, hướng dẫn, thanh tra, kiểm tra việc xây dựng thang lương, bảng lương, định mức lao động đối với các doanh nghiệp trên địa bàn theo quy định tại Nghị định này;</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cơ quan, tổ chức được phân công, phân cấp thực hiện các quyền và nghĩa vụ của chủ sở hữu đối với công ty trách nhiệm hữu hạn một thành viên do Nhà nước làm chủ sở hữu tiếp nhận, kiểm tra, giám sát việc xây dựng thang lương, bảng lương đối với các công ty trách nhiệm hữu hạn một thành viên do mình làm chủ sở hữu.</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 Bộ Lao động - Thương binh và Xã hội hướng dẫn công ty trách nhiệm hữu hạn một thành viên do Nhà nước làm chủ sở hữu, các tổ chức, đơn vị của Nhà nước, công ty cổ phần và công ty trách nhiệm hữu hạn hai thành viên trở lên được chuyển đổi từ công ty nhà nước, công ty trách nhiệm hữu hạn một thành viên do Nhà nước làm chủ sở hữu hiện đang xếp lương theo thang lương, bảng lương ban hành kèm theo Nghị định số </w:t>
      </w:r>
      <w:hyperlink r:id="rId14" w:tgtFrame="_blank" w:tooltip="Nghị định 205/2004/NĐ-CP" w:history="1">
        <w:r>
          <w:rPr>
            <w:rStyle w:val="Hyperlink"/>
            <w:rFonts w:ascii="Arial" w:hAnsi="Arial" w:cs="Arial"/>
            <w:color w:val="0E70C3"/>
            <w:sz w:val="18"/>
            <w:szCs w:val="18"/>
            <w:u w:val="none"/>
          </w:rPr>
          <w:t>205/2004/NĐ-CP</w:t>
        </w:r>
      </w:hyperlink>
      <w:r>
        <w:rPr>
          <w:rFonts w:ascii="Arial" w:hAnsi="Arial" w:cs="Arial"/>
          <w:color w:val="000000"/>
          <w:sz w:val="18"/>
          <w:szCs w:val="18"/>
        </w:rPr>
        <w:t> ngày 14 tháng 12 năm 2004 của Chính phủ thực hiện việc xây dựng thang lương, bảng lương, phụ cấp lương theo quy định tại Nghị định này, bảo đảm quan hệ hợp lý về tiền lương giữa các loại lao động trong công ty và các ngành nghề; chuyển xếp lương đối với người lao động từ thang lương, bảng lương do Chính phủ ban hành kèm theo Nghị định số </w:t>
      </w:r>
      <w:hyperlink r:id="rId15" w:tgtFrame="_blank" w:tooltip="Nghị định 205/2004/NĐ-CP" w:history="1">
        <w:r>
          <w:rPr>
            <w:rStyle w:val="Hyperlink"/>
            <w:rFonts w:ascii="Arial" w:hAnsi="Arial" w:cs="Arial"/>
            <w:color w:val="0E70C3"/>
            <w:sz w:val="18"/>
            <w:szCs w:val="18"/>
            <w:u w:val="none"/>
          </w:rPr>
          <w:t>205/2004/NĐ-CP</w:t>
        </w:r>
      </w:hyperlink>
      <w:r>
        <w:rPr>
          <w:rFonts w:ascii="Arial" w:hAnsi="Arial" w:cs="Arial"/>
          <w:color w:val="000000"/>
          <w:sz w:val="18"/>
          <w:szCs w:val="18"/>
        </w:rPr>
        <w:t> ngày 14 tháng 12 năm 2004 sang thang lương, bảng lương do công ty ban hành.</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trưởng, Thủ trưởng cơ quan ngang Bộ, Thủ trưởng cơ quan thuộc Chính phủ, Chủ tịch Ủy ban nhân dân tỉnh, thành phố trực thuộc Trung ương và các cơ quan, tổ chức, doanh nghiệp và cá nhân có liên quan chịu trách nhiệm thi hành Nghị định này./.</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9"/>
        <w:gridCol w:w="4263"/>
      </w:tblGrid>
      <w:tr w:rsidR="003D11FC" w:rsidTr="003D11FC">
        <w:trPr>
          <w:tblCellSpacing w:w="0" w:type="dxa"/>
        </w:trPr>
        <w:tc>
          <w:tcPr>
            <w:tcW w:w="4428" w:type="dxa"/>
            <w:shd w:val="clear" w:color="auto" w:fill="FFFFFF"/>
            <w:tcMar>
              <w:top w:w="0" w:type="dxa"/>
              <w:left w:w="108" w:type="dxa"/>
              <w:bottom w:w="0" w:type="dxa"/>
              <w:right w:w="108" w:type="dxa"/>
            </w:tcMar>
            <w:hideMark/>
          </w:tcPr>
          <w:p w:rsidR="003D11FC" w:rsidRDefault="003D11F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Bộ trưởng (để báo cáo);</w:t>
            </w:r>
            <w:r>
              <w:rPr>
                <w:rFonts w:ascii="Arial" w:hAnsi="Arial" w:cs="Arial"/>
                <w:color w:val="000000"/>
                <w:sz w:val="16"/>
                <w:szCs w:val="16"/>
              </w:rPr>
              <w:br/>
              <w:t>- TT Doãn Mậu Diệp;</w:t>
            </w:r>
            <w:r>
              <w:rPr>
                <w:rFonts w:ascii="Arial" w:hAnsi="Arial" w:cs="Arial"/>
                <w:color w:val="000000"/>
                <w:sz w:val="16"/>
                <w:szCs w:val="16"/>
              </w:rPr>
              <w:br/>
              <w:t>- Văn phòng Chính phủ (để đăng Công báo);</w:t>
            </w:r>
            <w:r>
              <w:rPr>
                <w:rFonts w:ascii="Arial" w:hAnsi="Arial" w:cs="Arial"/>
                <w:color w:val="000000"/>
                <w:sz w:val="16"/>
                <w:szCs w:val="16"/>
              </w:rPr>
              <w:br/>
              <w:t>- Cổng TTĐTCP (để đăng tải);</w:t>
            </w:r>
            <w:r>
              <w:rPr>
                <w:rFonts w:ascii="Arial" w:hAnsi="Arial" w:cs="Arial"/>
                <w:color w:val="000000"/>
                <w:sz w:val="16"/>
                <w:szCs w:val="16"/>
              </w:rPr>
              <w:br/>
              <w:t>- Trung tâm Thông tin BLĐTBXH (để đăng tải);</w:t>
            </w:r>
            <w:r>
              <w:rPr>
                <w:rFonts w:ascii="Arial" w:hAnsi="Arial" w:cs="Arial"/>
                <w:color w:val="000000"/>
                <w:sz w:val="16"/>
                <w:szCs w:val="16"/>
              </w:rPr>
              <w:br/>
              <w:t>- Lưu: VT, PC, QHLĐTL.</w:t>
            </w:r>
          </w:p>
        </w:tc>
        <w:tc>
          <w:tcPr>
            <w:tcW w:w="4428" w:type="dxa"/>
            <w:shd w:val="clear" w:color="auto" w:fill="FFFFFF"/>
            <w:tcMar>
              <w:top w:w="0" w:type="dxa"/>
              <w:left w:w="108" w:type="dxa"/>
              <w:bottom w:w="0" w:type="dxa"/>
              <w:right w:w="108" w:type="dxa"/>
            </w:tcMar>
            <w:hideMark/>
          </w:tcPr>
          <w:p w:rsidR="003D11FC" w:rsidRDefault="003D11F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XÁC THỰC VĂN BẢN HỢP NHẤT</w:t>
            </w:r>
          </w:p>
          <w:p w:rsidR="003D11FC" w:rsidRDefault="003D11F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Doãn Mậu Diệp</w:t>
            </w:r>
          </w:p>
        </w:tc>
      </w:tr>
    </w:tbl>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rPr>
        <w:br w:type="textWrapping" w:clear="all"/>
      </w:r>
    </w:p>
    <w:p w:rsidR="003D11FC" w:rsidRDefault="003D11FC" w:rsidP="003D11FC">
      <w:pPr>
        <w:shd w:val="clear" w:color="auto" w:fill="FFFFFF"/>
        <w:rPr>
          <w:rFonts w:ascii="Arial" w:hAnsi="Arial" w:cs="Arial"/>
          <w:color w:val="000000"/>
        </w:rPr>
      </w:pPr>
      <w:r>
        <w:rPr>
          <w:rFonts w:ascii="Arial" w:hAnsi="Arial" w:cs="Arial"/>
          <w:color w:val="000000"/>
        </w:rPr>
        <w:pict>
          <v:rect id="_x0000_i1025" style="width:137.05pt;height:.75pt" o:hrpct="330" o:hrstd="t" o:hr="t" fillcolor="#a0a0a0" stroked="f"/>
        </w:pic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hyperlink r:id="rId16" w:anchor="_ftnref1" w:history="1">
        <w:r>
          <w:rPr>
            <w:rStyle w:val="Hyperlink"/>
            <w:rFonts w:ascii="Arial" w:hAnsi="Arial" w:cs="Arial"/>
            <w:color w:val="auto"/>
            <w:sz w:val="18"/>
            <w:szCs w:val="18"/>
            <w:u w:val="none"/>
          </w:rPr>
          <w:t>1</w:t>
        </w:r>
      </w:hyperlink>
      <w:r>
        <w:rPr>
          <w:rFonts w:ascii="Arial" w:hAnsi="Arial" w:cs="Arial"/>
          <w:color w:val="000000"/>
          <w:sz w:val="18"/>
          <w:szCs w:val="18"/>
        </w:rPr>
        <w:t> Nghị định số </w:t>
      </w:r>
      <w:hyperlink r:id="rId17" w:tgtFrame="_blank" w:tooltip="Nghị định 121/2018/NĐ-CP" w:history="1">
        <w:r>
          <w:rPr>
            <w:rStyle w:val="Hyperlink"/>
            <w:rFonts w:ascii="Arial" w:hAnsi="Arial" w:cs="Arial"/>
            <w:color w:val="0E70C3"/>
            <w:sz w:val="18"/>
            <w:szCs w:val="18"/>
            <w:u w:val="none"/>
          </w:rPr>
          <w:t>121/2018/NĐ-CP</w:t>
        </w:r>
      </w:hyperlink>
      <w:r>
        <w:rPr>
          <w:rFonts w:ascii="Arial" w:hAnsi="Arial" w:cs="Arial"/>
          <w:color w:val="000000"/>
          <w:sz w:val="18"/>
          <w:szCs w:val="18"/>
        </w:rPr>
        <w:t> ngày 13 tháng 9 năm 2018 của Chính phủ sửa đổi, bổ sung một số điều của Nghị định số </w:t>
      </w:r>
      <w:hyperlink r:id="rId18" w:tgtFrame="_blank" w:tooltip="Nghị định 49/2013/NĐ-CP" w:history="1">
        <w:r>
          <w:rPr>
            <w:rStyle w:val="Hyperlink"/>
            <w:rFonts w:ascii="Arial" w:hAnsi="Arial" w:cs="Arial"/>
            <w:color w:val="0E70C3"/>
            <w:sz w:val="18"/>
            <w:szCs w:val="18"/>
            <w:u w:val="none"/>
          </w:rPr>
          <w:t>49/2013/NĐ-CP</w:t>
        </w:r>
      </w:hyperlink>
      <w:r>
        <w:rPr>
          <w:rFonts w:ascii="Arial" w:hAnsi="Arial" w:cs="Arial"/>
          <w:color w:val="000000"/>
          <w:sz w:val="18"/>
          <w:szCs w:val="18"/>
        </w:rPr>
        <w:t> ngày 14 tháng 5 năm 2013 của Chính phủ quy định chi tiết thi hành một số điều của Bộ luật Lao động về tiền lương có căn cứ ban hành như sau:</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19 tháng 6 năm 2015;</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Lao động - Thương binh và Xã hội;</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sửa đổi, bổ sung một số điều của Nghị định số </w:t>
      </w:r>
      <w:hyperlink r:id="rId19" w:tgtFrame="_blank" w:tooltip="Nghị định 49/2013/NĐ-CP" w:history="1">
        <w:r>
          <w:rPr>
            <w:rStyle w:val="Hyperlink"/>
            <w:rFonts w:ascii="Arial" w:hAnsi="Arial" w:cs="Arial"/>
            <w:i/>
            <w:iCs/>
            <w:color w:val="0E70C3"/>
            <w:sz w:val="18"/>
            <w:szCs w:val="18"/>
            <w:u w:val="none"/>
          </w:rPr>
          <w:t>49/2013/NĐ-CP</w:t>
        </w:r>
      </w:hyperlink>
      <w:r>
        <w:rPr>
          <w:rFonts w:ascii="Arial" w:hAnsi="Arial" w:cs="Arial"/>
          <w:i/>
          <w:iCs/>
          <w:color w:val="000000"/>
          <w:sz w:val="18"/>
          <w:szCs w:val="18"/>
        </w:rPr>
        <w:t>ngày 14 tháng 5 năm 2013 của Chính phủ quy định chi tiết thi hành một số điều của Bộ luật Lao động về tiền lương.".</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hyperlink r:id="rId20" w:anchor="_ftnref2" w:history="1">
        <w:r>
          <w:rPr>
            <w:rStyle w:val="Hyperlink"/>
            <w:rFonts w:ascii="Arial" w:hAnsi="Arial" w:cs="Arial"/>
            <w:color w:val="auto"/>
            <w:sz w:val="18"/>
            <w:szCs w:val="18"/>
            <w:u w:val="none"/>
          </w:rPr>
          <w:t>2</w:t>
        </w:r>
      </w:hyperlink>
      <w:r>
        <w:rPr>
          <w:rFonts w:ascii="Arial" w:hAnsi="Arial" w:cs="Arial"/>
          <w:color w:val="000000"/>
          <w:sz w:val="18"/>
          <w:szCs w:val="18"/>
        </w:rPr>
        <w:t> Đoạn “Doanh nghiệp xây dựng định mức lao động làm cơ sở để trả lương cho người lao động hưởng lương theo sản phẩm, đảm bảo các nguyên tắc sau đây:” được bổ sung theo quy định tại Khoản 1 Điều 1 Nghị định số </w:t>
      </w:r>
      <w:hyperlink r:id="rId21" w:tgtFrame="_blank" w:tooltip="Nghị định 121/2018/NĐ-CP" w:history="1">
        <w:r>
          <w:rPr>
            <w:rStyle w:val="Hyperlink"/>
            <w:rFonts w:ascii="Arial" w:hAnsi="Arial" w:cs="Arial"/>
            <w:color w:val="0E70C3"/>
            <w:sz w:val="18"/>
            <w:szCs w:val="18"/>
            <w:u w:val="none"/>
          </w:rPr>
          <w:t>121/2018/NĐ-CP</w:t>
        </w:r>
      </w:hyperlink>
      <w:r>
        <w:rPr>
          <w:rFonts w:ascii="Arial" w:hAnsi="Arial" w:cs="Arial"/>
          <w:color w:val="000000"/>
          <w:sz w:val="18"/>
          <w:szCs w:val="18"/>
        </w:rPr>
        <w:t> ngày 13 tháng 9 năm 2018 của Chính phủ sửa đổi, bổ sung một số điều của Nghị định số </w:t>
      </w:r>
      <w:hyperlink r:id="rId22" w:tgtFrame="_blank" w:tooltip="Nghị định 49/2013/NĐ-CP" w:history="1">
        <w:r>
          <w:rPr>
            <w:rStyle w:val="Hyperlink"/>
            <w:rFonts w:ascii="Arial" w:hAnsi="Arial" w:cs="Arial"/>
            <w:color w:val="0E70C3"/>
            <w:sz w:val="18"/>
            <w:szCs w:val="18"/>
            <w:u w:val="none"/>
          </w:rPr>
          <w:t>49/2013/NĐ-CP</w:t>
        </w:r>
      </w:hyperlink>
      <w:r>
        <w:rPr>
          <w:rFonts w:ascii="Arial" w:hAnsi="Arial" w:cs="Arial"/>
          <w:color w:val="000000"/>
          <w:sz w:val="18"/>
          <w:szCs w:val="18"/>
        </w:rPr>
        <w:t> ngày 14 tháng 5 năm 2013 của Chính phủ quy định chi tiết thi hành một số điều của Bộ luật Lao động về tiền lương, có hiệu lực kể từ ngày 01 tháng 11 năm 2018.</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hyperlink r:id="rId23" w:anchor="_ftnref3" w:history="1">
        <w:r>
          <w:rPr>
            <w:rStyle w:val="Hyperlink"/>
            <w:rFonts w:ascii="Arial" w:hAnsi="Arial" w:cs="Arial"/>
            <w:color w:val="auto"/>
            <w:sz w:val="18"/>
            <w:szCs w:val="18"/>
            <w:u w:val="none"/>
          </w:rPr>
          <w:t>3</w:t>
        </w:r>
      </w:hyperlink>
      <w:r>
        <w:rPr>
          <w:rFonts w:ascii="Arial" w:hAnsi="Arial" w:cs="Arial"/>
          <w:color w:val="000000"/>
          <w:sz w:val="18"/>
          <w:szCs w:val="18"/>
        </w:rPr>
        <w:t> Điều 2 Nghị định số </w:t>
      </w:r>
      <w:hyperlink r:id="rId24" w:tgtFrame="_blank" w:tooltip="Nghị định 121/2018/NĐ-CP" w:history="1">
        <w:r>
          <w:rPr>
            <w:rStyle w:val="Hyperlink"/>
            <w:rFonts w:ascii="Arial" w:hAnsi="Arial" w:cs="Arial"/>
            <w:color w:val="0E70C3"/>
            <w:sz w:val="18"/>
            <w:szCs w:val="18"/>
            <w:u w:val="none"/>
          </w:rPr>
          <w:t>121/2018/NĐ-CP</w:t>
        </w:r>
      </w:hyperlink>
      <w:r>
        <w:rPr>
          <w:rFonts w:ascii="Arial" w:hAnsi="Arial" w:cs="Arial"/>
          <w:color w:val="000000"/>
          <w:sz w:val="18"/>
          <w:szCs w:val="18"/>
        </w:rPr>
        <w:t> ngày 13 tháng 9 năm 2018 của Chính phủ sửa đổi, bổ sung một số điều của Nghị định số </w:t>
      </w:r>
      <w:hyperlink r:id="rId25" w:tgtFrame="_blank" w:tooltip="Nghị định 49/2013/NĐ-CP" w:history="1">
        <w:r>
          <w:rPr>
            <w:rStyle w:val="Hyperlink"/>
            <w:rFonts w:ascii="Arial" w:hAnsi="Arial" w:cs="Arial"/>
            <w:color w:val="0E70C3"/>
            <w:sz w:val="18"/>
            <w:szCs w:val="18"/>
            <w:u w:val="none"/>
          </w:rPr>
          <w:t>49/2013/NĐ-CP</w:t>
        </w:r>
      </w:hyperlink>
      <w:r>
        <w:rPr>
          <w:rFonts w:ascii="Arial" w:hAnsi="Arial" w:cs="Arial"/>
          <w:color w:val="000000"/>
          <w:sz w:val="18"/>
          <w:szCs w:val="18"/>
        </w:rPr>
        <w:t> ngày 14 tháng 5 năm 2013 của Chính phủ quy định chi tiết thi hành một số điều của Bộ luật Lao động về tiền lương, có hiệu lực thi hành kể từ ngày 01 tháng 11 năm 2018 quy định như sau:</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“Điều 2. Hiệu lực thi hành</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1. Nghị định này có hiệu lực thi hành kể từ ngày 01 tháng 11 năm 2018.</w:t>
      </w:r>
    </w:p>
    <w:p w:rsidR="003D11FC" w:rsidRDefault="003D11FC" w:rsidP="003D11F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2. Bộ trưởng, Thủ trưởng cơ quan ngang Bộ, Thủ trưởng cơ quan thuộc Chính phủ, Chủ tịch Ủy ban nhân dân tỉnh, thành phố trực thuộc Trung ương và các cơ quan, doanh nghiệp chịu trách nhiệm thi hành Nghị định này./. ”</w:t>
      </w:r>
    </w:p>
    <w:p w:rsidR="003D11FC" w:rsidRDefault="003D11FC" w:rsidP="003D11FC">
      <w:pPr>
        <w:pStyle w:val="NormalWeb"/>
        <w:shd w:val="clear" w:color="auto" w:fill="FFFFFF"/>
        <w:spacing w:before="0" w:beforeAutospacing="0" w:after="0" w:afterAutospacing="0" w:line="234" w:lineRule="atLeast"/>
        <w:rPr>
          <w:rFonts w:ascii="Arial" w:hAnsi="Arial" w:cs="Arial"/>
          <w:color w:val="000000"/>
          <w:sz w:val="18"/>
          <w:szCs w:val="18"/>
        </w:rPr>
      </w:pPr>
      <w:hyperlink r:id="rId26" w:anchor="_ftnref4" w:history="1">
        <w:r>
          <w:rPr>
            <w:rStyle w:val="Hyperlink"/>
            <w:rFonts w:ascii="Arial" w:hAnsi="Arial" w:cs="Arial"/>
            <w:color w:val="auto"/>
            <w:sz w:val="18"/>
            <w:szCs w:val="18"/>
            <w:u w:val="none"/>
          </w:rPr>
          <w:t>4</w:t>
        </w:r>
      </w:hyperlink>
      <w:r>
        <w:rPr>
          <w:rFonts w:ascii="Arial" w:hAnsi="Arial" w:cs="Arial"/>
          <w:color w:val="000000"/>
          <w:sz w:val="18"/>
          <w:szCs w:val="18"/>
        </w:rPr>
        <w:t> Đoạn “Đối với doanh nghiệp sử dụng dưới 10 lao động được miễn thủ tục gửi thang lương, bảng lương, định mức lao động cho cơ quan quản lý nhà nước về lao động cấp huyện nơi đặt cơ sở sản xuất, kinh doanh của doanh nghiệp” được bổ sung theo quy định tại Khoản 2 Điều 1 Nghị định số </w:t>
      </w:r>
      <w:hyperlink r:id="rId27" w:tgtFrame="_blank" w:tooltip="Nghị định 121/2018/NĐ-CP" w:history="1">
        <w:r>
          <w:rPr>
            <w:rStyle w:val="Hyperlink"/>
            <w:rFonts w:ascii="Arial" w:hAnsi="Arial" w:cs="Arial"/>
            <w:color w:val="0E70C3"/>
            <w:sz w:val="18"/>
            <w:szCs w:val="18"/>
            <w:u w:val="none"/>
          </w:rPr>
          <w:t>121/2018/NĐ-CP</w:t>
        </w:r>
      </w:hyperlink>
      <w:r>
        <w:rPr>
          <w:rFonts w:ascii="Arial" w:hAnsi="Arial" w:cs="Arial"/>
          <w:color w:val="000000"/>
          <w:sz w:val="18"/>
          <w:szCs w:val="18"/>
        </w:rPr>
        <w:t> ngày 13 tháng 9 năm 2018 của Chính phủ sửa đổi, bổ sung một số điều của Nghị định số </w:t>
      </w:r>
      <w:hyperlink r:id="rId28" w:tgtFrame="_blank" w:tooltip="Nghị định 49/2013/NĐ-CP" w:history="1">
        <w:r>
          <w:rPr>
            <w:rStyle w:val="Hyperlink"/>
            <w:rFonts w:ascii="Arial" w:hAnsi="Arial" w:cs="Arial"/>
            <w:color w:val="0E70C3"/>
            <w:sz w:val="18"/>
            <w:szCs w:val="18"/>
            <w:u w:val="none"/>
          </w:rPr>
          <w:t>49/2013/NĐ-CP</w:t>
        </w:r>
      </w:hyperlink>
      <w:r>
        <w:rPr>
          <w:rFonts w:ascii="Arial" w:hAnsi="Arial" w:cs="Arial"/>
          <w:color w:val="000000"/>
          <w:sz w:val="18"/>
          <w:szCs w:val="18"/>
        </w:rPr>
        <w:t> ngày 14 tháng 5 năm 2013 của Chính phủ quy định chi tiết thi hành một số điều của Bộ luật Lao động về tiền lương, có hiệu lực kể từ ngày 01 tháng 11 năm 2018.</w:t>
      </w:r>
    </w:p>
    <w:p w:rsidR="00E2675C" w:rsidRPr="003D11FC" w:rsidRDefault="00E2675C" w:rsidP="003D11FC">
      <w:bookmarkStart w:id="20" w:name="_GoBack"/>
      <w:bookmarkEnd w:id="20"/>
    </w:p>
    <w:sectPr w:rsidR="00E2675C" w:rsidRPr="003D11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16D73"/>
    <w:rsid w:val="00243523"/>
    <w:rsid w:val="003B5551"/>
    <w:rsid w:val="003D11FC"/>
    <w:rsid w:val="003D2338"/>
    <w:rsid w:val="003E1FDA"/>
    <w:rsid w:val="00427CE1"/>
    <w:rsid w:val="004A29FE"/>
    <w:rsid w:val="004D7047"/>
    <w:rsid w:val="004E5F02"/>
    <w:rsid w:val="00593671"/>
    <w:rsid w:val="005C2737"/>
    <w:rsid w:val="005C294A"/>
    <w:rsid w:val="006A326C"/>
    <w:rsid w:val="00717893"/>
    <w:rsid w:val="007E29B4"/>
    <w:rsid w:val="007F585D"/>
    <w:rsid w:val="008265A2"/>
    <w:rsid w:val="00AC3C1F"/>
    <w:rsid w:val="00CD46DA"/>
    <w:rsid w:val="00D6015A"/>
    <w:rsid w:val="00DB44DB"/>
    <w:rsid w:val="00DE6E0D"/>
    <w:rsid w:val="00E106F2"/>
    <w:rsid w:val="00E2675C"/>
    <w:rsid w:val="00E86025"/>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49-2013-nd-cp-huong-dan-bo-luat-lao-dong-ve-tien-luong-187387.aspx" TargetMode="External"/><Relationship Id="rId13" Type="http://schemas.openxmlformats.org/officeDocument/2006/relationships/hyperlink" Target="https://thuvienphapluat.vn/van-ban/Lao-dong-Tien-luong/Van-ban-hop-nhat-4759-VBHN-BLDTBXH-2018-huong-dan-Bo-luat-Lao-dong-ve-tien-luong-399845.aspx" TargetMode="External"/><Relationship Id="rId18" Type="http://schemas.openxmlformats.org/officeDocument/2006/relationships/hyperlink" Target="https://thuvienphapluat.vn/van-ban/lao-dong-tien-luong/nghi-dinh-49-2013-nd-cp-huong-dan-bo-luat-lao-dong-ve-tien-luong-187387.aspx" TargetMode="External"/><Relationship Id="rId26" Type="http://schemas.openxmlformats.org/officeDocument/2006/relationships/hyperlink" Target="https://thuvienphapluat.vn/van-ban/Lao-dong-Tien-luong/Van-ban-hop-nhat-4759-VBHN-BLDTBXH-2018-huong-dan-Bo-luat-Lao-dong-ve-tien-luong-399845.aspx" TargetMode="External"/><Relationship Id="rId3" Type="http://schemas.microsoft.com/office/2007/relationships/stylesWithEffects" Target="stylesWithEffects.xml"/><Relationship Id="rId21" Type="http://schemas.openxmlformats.org/officeDocument/2006/relationships/hyperlink" Target="https://thuvienphapluat.vn/van-ban/lao-dong-tien-luong/nghi-dinh-121-2018-nd-cp-sua-doi-nghi-dinh-49-2013-nd-cp-huong-dan-luat-lao-dong-ve-tien-luong-375988.aspx" TargetMode="External"/><Relationship Id="rId7" Type="http://schemas.openxmlformats.org/officeDocument/2006/relationships/hyperlink" Target="https://thuvienphapluat.vn/van-ban/lao-dong-tien-luong/nghi-dinh-121-2018-nd-cp-sua-doi-nghi-dinh-49-2013-nd-cp-huong-dan-luat-lao-dong-ve-tien-luong-375988.aspx" TargetMode="External"/><Relationship Id="rId12" Type="http://schemas.openxmlformats.org/officeDocument/2006/relationships/hyperlink" Target="https://thuvienphapluat.vn/van-ban/lao-dong-tien-luong/nghi-dinh-205-2004-nd-cp-he-thong-thang-luong-bang-luong-che-do-phu-cap-luong-trong-cong-ty-nha-nuoc-bo-sung-phu-luc-14267.aspx" TargetMode="External"/><Relationship Id="rId17" Type="http://schemas.openxmlformats.org/officeDocument/2006/relationships/hyperlink" Target="https://thuvienphapluat.vn/van-ban/lao-dong-tien-luong/nghi-dinh-121-2018-nd-cp-sua-doi-nghi-dinh-49-2013-nd-cp-huong-dan-luat-lao-dong-ve-tien-luong-375988.aspx" TargetMode="External"/><Relationship Id="rId25" Type="http://schemas.openxmlformats.org/officeDocument/2006/relationships/hyperlink" Target="https://thuvienphapluat.vn/van-ban/lao-dong-tien-luong/nghi-dinh-49-2013-nd-cp-huong-dan-bo-luat-lao-dong-ve-tien-luong-187387.aspx" TargetMode="External"/><Relationship Id="rId2" Type="http://schemas.openxmlformats.org/officeDocument/2006/relationships/styles" Target="styles.xml"/><Relationship Id="rId16" Type="http://schemas.openxmlformats.org/officeDocument/2006/relationships/hyperlink" Target="https://thuvienphapluat.vn/van-ban/Lao-dong-Tien-luong/Van-ban-hop-nhat-4759-VBHN-BLDTBXH-2018-huong-dan-Bo-luat-Lao-dong-ve-tien-luong-399845.aspx" TargetMode="External"/><Relationship Id="rId20" Type="http://schemas.openxmlformats.org/officeDocument/2006/relationships/hyperlink" Target="https://thuvienphapluat.vn/van-ban/Lao-dong-Tien-luong/Van-ban-hop-nhat-4759-VBHN-BLDTBXH-2018-huong-dan-Bo-luat-Lao-dong-ve-tien-luong-399845.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lao-dong-tien-luong/nghi-dinh-49-2013-nd-cp-huong-dan-bo-luat-lao-dong-ve-tien-luong-187387.aspx" TargetMode="External"/><Relationship Id="rId11" Type="http://schemas.openxmlformats.org/officeDocument/2006/relationships/hyperlink" Target="https://thuvienphapluat.vn/van-ban/lao-dong-tien-luong/nghi-dinh-114-2002-nd-cp-huong-dan-thi-hanh-bo-luat-lao-dong-ve-tien-luong-50364.aspx" TargetMode="External"/><Relationship Id="rId24" Type="http://schemas.openxmlformats.org/officeDocument/2006/relationships/hyperlink" Target="https://thuvienphapluat.vn/van-ban/lao-dong-tien-luong/nghi-dinh-121-2018-nd-cp-sua-doi-nghi-dinh-49-2013-nd-cp-huong-dan-luat-lao-dong-ve-tien-luong-375988.aspx" TargetMode="External"/><Relationship Id="rId5" Type="http://schemas.openxmlformats.org/officeDocument/2006/relationships/webSettings" Target="webSettings.xml"/><Relationship Id="rId15" Type="http://schemas.openxmlformats.org/officeDocument/2006/relationships/hyperlink" Target="https://thuvienphapluat.vn/van-ban/lao-dong-tien-luong/nghi-dinh-205-2004-nd-cp-he-thong-thang-luong-bang-luong-che-do-phu-cap-luong-trong-cong-ty-nha-nuoc-bo-sung-phu-luc-14267.aspx" TargetMode="External"/><Relationship Id="rId23" Type="http://schemas.openxmlformats.org/officeDocument/2006/relationships/hyperlink" Target="https://thuvienphapluat.vn/van-ban/Lao-dong-Tien-luong/Van-ban-hop-nhat-4759-VBHN-BLDTBXH-2018-huong-dan-Bo-luat-Lao-dong-ve-tien-luong-399845.aspx" TargetMode="External"/><Relationship Id="rId28" Type="http://schemas.openxmlformats.org/officeDocument/2006/relationships/hyperlink" Target="https://thuvienphapluat.vn/van-ban/lao-dong-tien-luong/nghi-dinh-49-2013-nd-cp-huong-dan-bo-luat-lao-dong-ve-tien-luong-187387.aspx" TargetMode="External"/><Relationship Id="rId10" Type="http://schemas.openxmlformats.org/officeDocument/2006/relationships/hyperlink" Target="https://thuvienphapluat.vn/van-ban/Lao-dong-Tien-luong/Van-ban-hop-nhat-4759-VBHN-BLDTBXH-2018-huong-dan-Bo-luat-Lao-dong-ve-tien-luong-399845.aspx" TargetMode="External"/><Relationship Id="rId19" Type="http://schemas.openxmlformats.org/officeDocument/2006/relationships/hyperlink" Target="https://thuvienphapluat.vn/van-ban/lao-dong-tien-luong/nghi-dinh-49-2013-nd-cp-huong-dan-bo-luat-lao-dong-ve-tien-luong-187387.aspx" TargetMode="External"/><Relationship Id="rId4" Type="http://schemas.openxmlformats.org/officeDocument/2006/relationships/settings" Target="settings.xml"/><Relationship Id="rId9" Type="http://schemas.openxmlformats.org/officeDocument/2006/relationships/hyperlink" Target="https://thuvienphapluat.vn/van-ban/Lao-dong-Tien-luong/Van-ban-hop-nhat-4759-VBHN-BLDTBXH-2018-huong-dan-Bo-luat-Lao-dong-ve-tien-luong-399845.aspx" TargetMode="External"/><Relationship Id="rId14" Type="http://schemas.openxmlformats.org/officeDocument/2006/relationships/hyperlink" Target="https://thuvienphapluat.vn/van-ban/lao-dong-tien-luong/nghi-dinh-205-2004-nd-cp-he-thong-thang-luong-bang-luong-che-do-phu-cap-luong-trong-cong-ty-nha-nuoc-bo-sung-phu-luc-14267.aspx" TargetMode="External"/><Relationship Id="rId22" Type="http://schemas.openxmlformats.org/officeDocument/2006/relationships/hyperlink" Target="https://thuvienphapluat.vn/van-ban/lao-dong-tien-luong/nghi-dinh-49-2013-nd-cp-huong-dan-bo-luat-lao-dong-ve-tien-luong-187387.aspx" TargetMode="External"/><Relationship Id="rId27" Type="http://schemas.openxmlformats.org/officeDocument/2006/relationships/hyperlink" Target="https://thuvienphapluat.vn/van-ban/lao-dong-tien-luong/nghi-dinh-121-2018-nd-cp-sua-doi-nghi-dinh-49-2013-nd-cp-huong-dan-luat-lao-dong-ve-tien-luong-375988.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2018-11-22T02:06:00Z</dcterms:created>
  <dcterms:modified xsi:type="dcterms:W3CDTF">2018-11-22T02:06:00Z</dcterms:modified>
</cp:coreProperties>
</file>