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C765C" w:rsidTr="00CC765C">
        <w:trPr>
          <w:trHeight w:val="299"/>
          <w:tblCellSpacing w:w="0" w:type="dxa"/>
        </w:trPr>
        <w:tc>
          <w:tcPr>
            <w:tcW w:w="3348" w:type="dxa"/>
            <w:shd w:val="clear" w:color="auto" w:fill="FFFFFF"/>
            <w:tcMar>
              <w:top w:w="0" w:type="dxa"/>
              <w:left w:w="108" w:type="dxa"/>
              <w:bottom w:w="0" w:type="dxa"/>
              <w:right w:w="108" w:type="dxa"/>
            </w:tcMar>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BỘ TÀI CHÍNH</w:t>
            </w:r>
            <w:r>
              <w:rPr>
                <w:rFonts w:ascii="Arial" w:hAnsi="Arial" w:cs="Arial"/>
                <w:color w:val="000000"/>
                <w:sz w:val="20"/>
                <w:szCs w:val="20"/>
              </w:rPr>
              <w:br/>
            </w:r>
            <w:r>
              <w:rPr>
                <w:rFonts w:ascii="Arial" w:hAnsi="Arial" w:cs="Arial"/>
                <w:b/>
                <w:bCs/>
                <w:color w:val="000000"/>
                <w:sz w:val="20"/>
                <w:szCs w:val="20"/>
              </w:rPr>
              <w:t>TỔNG CỤC HẢI QUAN</w:t>
            </w:r>
            <w:r>
              <w:rPr>
                <w:rFonts w:ascii="Arial"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CỘNG HÒA XÃ HỘI CHỦ NGHĨA VIỆT NAM</w:t>
            </w:r>
            <w:r>
              <w:rPr>
                <w:rFonts w:ascii="Arial" w:hAnsi="Arial" w:cs="Arial"/>
                <w:b/>
                <w:bCs/>
                <w:color w:val="000000"/>
                <w:sz w:val="20"/>
                <w:szCs w:val="20"/>
              </w:rPr>
              <w:br/>
              <w:t>Độc lập - Tự do - Hạnh phúc </w:t>
            </w:r>
            <w:r>
              <w:rPr>
                <w:rFonts w:ascii="Arial" w:hAnsi="Arial" w:cs="Arial"/>
                <w:b/>
                <w:bCs/>
                <w:color w:val="000000"/>
                <w:sz w:val="20"/>
                <w:szCs w:val="20"/>
              </w:rPr>
              <w:br/>
              <w:t>---------------</w:t>
            </w:r>
          </w:p>
        </w:tc>
      </w:tr>
      <w:tr w:rsidR="00CC765C" w:rsidTr="00CC765C">
        <w:trPr>
          <w:tblCellSpacing w:w="0" w:type="dxa"/>
        </w:trPr>
        <w:tc>
          <w:tcPr>
            <w:tcW w:w="3348" w:type="dxa"/>
            <w:shd w:val="clear" w:color="auto" w:fill="FFFFFF"/>
            <w:tcMar>
              <w:top w:w="0" w:type="dxa"/>
              <w:left w:w="108" w:type="dxa"/>
              <w:bottom w:w="0" w:type="dxa"/>
              <w:right w:w="108" w:type="dxa"/>
            </w:tcMar>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2765/TCHQ-GSQL</w:t>
            </w:r>
            <w:r>
              <w:rPr>
                <w:rFonts w:ascii="Arial" w:hAnsi="Arial" w:cs="Arial"/>
                <w:color w:val="000000"/>
                <w:sz w:val="20"/>
                <w:szCs w:val="20"/>
              </w:rPr>
              <w:br/>
            </w:r>
            <w:r>
              <w:rPr>
                <w:rFonts w:ascii="Arial" w:hAnsi="Arial" w:cs="Arial"/>
                <w:i/>
                <w:iCs/>
                <w:color w:val="000000"/>
                <w:sz w:val="16"/>
                <w:szCs w:val="16"/>
              </w:rPr>
              <w:t>V/v mã loại hình XNK trên Hệ thống VNACCS</w:t>
            </w:r>
          </w:p>
        </w:tc>
        <w:tc>
          <w:tcPr>
            <w:tcW w:w="5508" w:type="dxa"/>
            <w:shd w:val="clear" w:color="auto" w:fill="FFFFFF"/>
            <w:tcMar>
              <w:top w:w="0" w:type="dxa"/>
              <w:left w:w="108" w:type="dxa"/>
              <w:bottom w:w="0" w:type="dxa"/>
              <w:right w:w="108" w:type="dxa"/>
            </w:tcMar>
            <w:hideMark/>
          </w:tcPr>
          <w:p w:rsidR="00CC765C" w:rsidRDefault="00CC765C">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 01 tháng 04 năm 2015</w:t>
            </w:r>
          </w:p>
        </w:tc>
      </w:tr>
    </w:tbl>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CC765C" w:rsidRDefault="00CC765C" w:rsidP="00CC765C">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Kính gửi:</w:t>
      </w:r>
      <w:r>
        <w:rPr>
          <w:rFonts w:ascii="Arial" w:hAnsi="Arial" w:cs="Arial"/>
          <w:color w:val="000000"/>
          <w:sz w:val="20"/>
          <w:szCs w:val="20"/>
        </w:rPr>
        <w:t> Cục Hải quan các tỉnh, liên tỉnh, thành phố trực thuộc Trung ương.</w:t>
      </w:r>
    </w:p>
    <w:p w:rsidR="00CC765C" w:rsidRDefault="00CC765C" w:rsidP="00CC765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Để thực hiện thống nhất việc khai báo đối với chỉ tiêu mã loại hình trên Hệ thống VNACCS cũng như mã loại hình khi thực hiện thủ tục khai trên tờ khai hải quan giấy khi triển khai thực hiện theo quy định của Luật Hải quan, Nghị định số </w:t>
      </w:r>
      <w:hyperlink r:id="rId7" w:tgtFrame="_blank" w:tooltip="Nghị định 08/2015/NĐ-CP" w:history="1">
        <w:r>
          <w:rPr>
            <w:rStyle w:val="Hyperlink"/>
            <w:rFonts w:ascii="Arial" w:hAnsi="Arial" w:cs="Arial"/>
            <w:color w:val="0E70C3"/>
            <w:sz w:val="20"/>
            <w:szCs w:val="20"/>
          </w:rPr>
          <w:t>08/2015/NĐ-CP</w:t>
        </w:r>
      </w:hyperlink>
      <w:r>
        <w:rPr>
          <w:rFonts w:ascii="Arial" w:hAnsi="Arial" w:cs="Arial"/>
          <w:color w:val="000000"/>
          <w:sz w:val="20"/>
          <w:szCs w:val="20"/>
        </w:rPr>
        <w:t> ngày 21/01/2015 của Chính phủ, Thông tư số </w:t>
      </w:r>
      <w:hyperlink r:id="rId8" w:tgtFrame="_blank" w:tooltip="Thông tư 38/2015/TT-BTC" w:history="1">
        <w:r>
          <w:rPr>
            <w:rStyle w:val="Hyperlink"/>
            <w:rFonts w:ascii="Arial" w:hAnsi="Arial" w:cs="Arial"/>
            <w:color w:val="0E70C3"/>
            <w:sz w:val="20"/>
            <w:szCs w:val="20"/>
          </w:rPr>
          <w:t>38/2015/TT-BTC</w:t>
        </w:r>
      </w:hyperlink>
      <w:r>
        <w:rPr>
          <w:rFonts w:ascii="Arial" w:hAnsi="Arial" w:cs="Arial"/>
          <w:color w:val="000000"/>
          <w:sz w:val="20"/>
          <w:szCs w:val="20"/>
        </w:rPr>
        <w:t> ngày 25/3/2015 của Bộ Tài chính, Tổng cục Hải quan ban hành Bảng mã loại hình và hướng dẫn sử dụng (ban hành kèm theo công văn này).</w:t>
      </w:r>
    </w:p>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Yêu cầu Cục Hải quan các tỉnh, liên tỉnh, thành phố trực thuộc Trung ương chỉ đạo các đơn vị trực thuộc chủ động nghiên cứu, hướng dẫn doanh nghiệp khai báo chỉ tiêu “mã loại hình” khi làm thủ tục xuất khẩu, nhập khẩu. Trường hợp có vướng mắc phát sinh vượt thẩm quyền, đề nghị tổng hợp, báo cáo về Tổng cục Hải quan (qua Cục Giám sát quản lý về hải quan) để được hướng dẫn./.</w:t>
      </w:r>
    </w:p>
    <w:p w:rsidR="00CC765C" w:rsidRDefault="00CC765C" w:rsidP="00CC765C">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i/>
          <w:iCs/>
          <w:color w:val="000000"/>
          <w:sz w:val="20"/>
          <w:szCs w:val="20"/>
        </w:rPr>
        <w:t>(Công văn này thay thế công văn số </w:t>
      </w:r>
      <w:hyperlink r:id="rId9" w:tgtFrame="_blank" w:tooltip="Công văn 3283/TCHQ-GSQL" w:history="1">
        <w:r>
          <w:rPr>
            <w:rStyle w:val="Hyperlink"/>
            <w:rFonts w:ascii="Arial" w:hAnsi="Arial" w:cs="Arial"/>
            <w:i/>
            <w:iCs/>
            <w:color w:val="0E70C3"/>
            <w:sz w:val="20"/>
            <w:szCs w:val="20"/>
          </w:rPr>
          <w:t>3283/TCHQ-GSQL</w:t>
        </w:r>
      </w:hyperlink>
      <w:r>
        <w:rPr>
          <w:rFonts w:ascii="Arial" w:hAnsi="Arial" w:cs="Arial"/>
          <w:i/>
          <w:iCs/>
          <w:color w:val="000000"/>
          <w:sz w:val="20"/>
          <w:szCs w:val="20"/>
        </w:rPr>
        <w:t> ngày 31/3/2014)</w:t>
      </w:r>
    </w:p>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765C" w:rsidTr="00CC765C">
        <w:trPr>
          <w:tblCellSpacing w:w="0" w:type="dxa"/>
        </w:trPr>
        <w:tc>
          <w:tcPr>
            <w:tcW w:w="4428" w:type="dxa"/>
            <w:shd w:val="clear" w:color="auto" w:fill="FFFFFF"/>
            <w:tcMar>
              <w:top w:w="0" w:type="dxa"/>
              <w:left w:w="108" w:type="dxa"/>
              <w:bottom w:w="0" w:type="dxa"/>
              <w:right w:w="108" w:type="dxa"/>
            </w:tcMar>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20"/>
                <w:szCs w:val="20"/>
              </w:rPr>
              <w:t> </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20"/>
                <w:szCs w:val="20"/>
              </w:rPr>
              <w:t>Nơi nhận:</w:t>
            </w:r>
            <w:r>
              <w:rPr>
                <w:rFonts w:ascii="Arial" w:hAnsi="Arial" w:cs="Arial"/>
                <w:color w:val="000000"/>
                <w:sz w:val="20"/>
                <w:szCs w:val="20"/>
              </w:rPr>
              <w:br/>
            </w:r>
            <w:r>
              <w:rPr>
                <w:rFonts w:ascii="Arial" w:hAnsi="Arial" w:cs="Arial"/>
                <w:color w:val="000000"/>
                <w:sz w:val="16"/>
                <w:szCs w:val="16"/>
              </w:rPr>
              <w:t>- Như trên;</w:t>
            </w:r>
            <w:r>
              <w:rPr>
                <w:rFonts w:ascii="Arial" w:hAnsi="Arial" w:cs="Arial"/>
                <w:color w:val="000000"/>
                <w:sz w:val="16"/>
                <w:szCs w:val="16"/>
              </w:rPr>
              <w:br/>
              <w:t>- Các </w:t>
            </w:r>
            <w:r>
              <w:rPr>
                <w:rFonts w:ascii="Arial" w:hAnsi="Arial" w:cs="Arial"/>
                <w:color w:val="000000"/>
                <w:sz w:val="16"/>
                <w:szCs w:val="16"/>
                <w:shd w:val="clear" w:color="auto" w:fill="FFFFFF"/>
              </w:rPr>
              <w:t>đơn vị</w:t>
            </w:r>
            <w:r>
              <w:rPr>
                <w:rFonts w:ascii="Arial" w:hAnsi="Arial" w:cs="Arial"/>
                <w:color w:val="000000"/>
                <w:sz w:val="16"/>
                <w:szCs w:val="16"/>
              </w:rPr>
              <w:t> thuộc TCHQ (để t/h);</w:t>
            </w:r>
            <w:r>
              <w:rPr>
                <w:rFonts w:ascii="Arial" w:hAnsi="Arial" w:cs="Arial"/>
                <w:color w:val="000000"/>
                <w:sz w:val="16"/>
                <w:szCs w:val="16"/>
              </w:rPr>
              <w:br/>
              <w:t>- Lưu: VT, GSQL.C</w:t>
            </w:r>
            <w:r>
              <w:rPr>
                <w:rFonts w:ascii="Arial" w:hAnsi="Arial" w:cs="Arial"/>
                <w:color w:val="000000"/>
                <w:sz w:val="16"/>
                <w:szCs w:val="16"/>
                <w:shd w:val="clear" w:color="auto" w:fill="FFFFFF"/>
              </w:rPr>
              <w:t>ư</w:t>
            </w:r>
            <w:r>
              <w:rPr>
                <w:rFonts w:ascii="Arial" w:hAnsi="Arial" w:cs="Arial"/>
                <w:color w:val="000000"/>
                <w:sz w:val="16"/>
                <w:szCs w:val="16"/>
              </w:rPr>
              <w:t>ờng(3b).</w:t>
            </w:r>
          </w:p>
        </w:tc>
        <w:tc>
          <w:tcPr>
            <w:tcW w:w="4428" w:type="dxa"/>
            <w:shd w:val="clear" w:color="auto" w:fill="FFFFFF"/>
            <w:tcMar>
              <w:top w:w="0" w:type="dxa"/>
              <w:left w:w="108" w:type="dxa"/>
              <w:bottom w:w="0" w:type="dxa"/>
              <w:right w:w="108" w:type="dxa"/>
            </w:tcMar>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KT. TỔNG CỤC TRƯỞNG</w:t>
            </w:r>
            <w:r>
              <w:rPr>
                <w:rFonts w:ascii="Arial" w:hAnsi="Arial" w:cs="Arial"/>
                <w:b/>
                <w:bCs/>
                <w:color w:val="000000"/>
                <w:sz w:val="20"/>
                <w:szCs w:val="20"/>
              </w:rPr>
              <w:br/>
              <w:t>PHÓ TỔNG CỤC TRƯỞNG</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Vũ Ngọc Anh</w:t>
            </w:r>
          </w:p>
        </w:tc>
      </w:tr>
    </w:tbl>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CC765C" w:rsidRDefault="00CC765C" w:rsidP="00CC765C">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BẢNG MÃ LOẠI HÌNH</w:t>
      </w:r>
    </w:p>
    <w:p w:rsidR="00CC765C" w:rsidRDefault="00CC765C" w:rsidP="00CC765C">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Công văn số 2765/TCHQ-GSQL ngày 01 tháng 4 năm 2015)</w:t>
      </w:r>
    </w:p>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 MÃ LOẠI HÌNH NHẬP KHẨU</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
        <w:gridCol w:w="586"/>
        <w:gridCol w:w="1467"/>
        <w:gridCol w:w="4699"/>
        <w:gridCol w:w="685"/>
        <w:gridCol w:w="1377"/>
      </w:tblGrid>
      <w:tr w:rsidR="00CC765C" w:rsidTr="00CC765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STT</w:t>
            </w:r>
          </w:p>
        </w:tc>
        <w:tc>
          <w:tcPr>
            <w:tcW w:w="30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Mã LH</w:t>
            </w:r>
          </w:p>
        </w:tc>
        <w:tc>
          <w:tcPr>
            <w:tcW w:w="75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Tên</w:t>
            </w:r>
          </w:p>
        </w:tc>
        <w:tc>
          <w:tcPr>
            <w:tcW w:w="240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Hướng dẫn </w:t>
            </w:r>
            <w:r>
              <w:rPr>
                <w:rFonts w:ascii="Arial" w:hAnsi="Arial" w:cs="Arial"/>
                <w:b/>
                <w:bCs/>
                <w:color w:val="000000"/>
                <w:sz w:val="20"/>
                <w:szCs w:val="20"/>
                <w:shd w:val="clear" w:color="auto" w:fill="FFFFFF"/>
              </w:rPr>
              <w:t>sử dụng</w:t>
            </w:r>
          </w:p>
        </w:tc>
        <w:tc>
          <w:tcPr>
            <w:tcW w:w="35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Khai kết hợp</w:t>
            </w:r>
          </w:p>
        </w:tc>
        <w:tc>
          <w:tcPr>
            <w:tcW w:w="70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Ghi chú</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A11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kinh doanh tiêu dùng (hàng hóa làm thủ tục tại Chi cục hải quan cửa khẩu)</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nhập khẩu hàng hóa để tiêu dùng, hàngkinh doanh thương mại đơn thuần theo quy định tại Quyết định của Thủ tướng Chính phủ về Danh mục hàng hóa phải làm thủ tục hải quan tại cửa khẩu nhập; hàng hóa là nguyên liệu đầu vào cho hoạt động sản xuất hoặc hàng nhập khẩu đầu tư miễn thuế, đầu tư nộp thuế do doanh nghiệp lựa chọn làm thủ tục tại cửa khẩu nhập;</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2</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A12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kinh doanh sản xuất (hàng hóa làm thủ tục tại Chi cục Hải quan khác Chi cục Hải quan cửa khẩu)</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nhập khẩu hàng hóa để tiêu dùng, hàng kinh doanh thương mại đơn thuần; nhập kinh doanh nguyên liệu đầu vào cho hoạt động sản xuất (trừ GC, SXXK, DNCX và doanh nghiệp trong khu phi thuế quan); hàng nhập khẩu đầu tư miễn thuế, đầu tư nộp thuế làm thủ tục tại Chi cục Hải quan khác Chi cục Hải quan cửa khẩu nhập; doanh nghiệp nội địa nhập kinh doanh hàng hóa từ khu phi thuế quan, DNCX hoặc nhập kinh doanh tại chỗ.</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Trường hợp nhập theo quyền nhập khẩu của doanh nghiệp đầu tư nước ngoài sử dụng mã A41</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3</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A21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Chuyển tiêu thụ nội địa từ nguồn tạmnhập</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chuyển tiêu thụ nội địa có nguồn gốc từ tạm nhập khẩu. Trường hợp chuyển tiêu thụ nội địa từ các nguồn khác sử dụng mã A42.</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4</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A31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Nhập khẩu</w:t>
            </w:r>
            <w:r>
              <w:rPr>
                <w:rFonts w:ascii="Arial" w:hAnsi="Arial" w:cs="Arial"/>
                <w:color w:val="000000"/>
                <w:sz w:val="20"/>
                <w:szCs w:val="20"/>
              </w:rPr>
              <w:t>hàng xuất khẩu bị trả lại</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hàng xuất khẩu bị trả lại gồm trả lại để sửa chữa, tái chế, tiêu thụ nội địa, tiêu hủy hoặc tái xuất sang nước thứ ba của các loại hình xuất kinh doanh, xuất sản phẩm gia công, xuất sản phẩm sản xuất xuất khẩu, xuất sản phẩm của DNCX.</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Trường hợp nhập khẩu để tái chế, tái xuất sang nước thứ 3, cơ quan Hải quan tổ chức theo dõi để xử lý theo quy định hoặc thực hiện theo chế độ tạm.</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5</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A41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kinh doanh của doanh nghiệp đầu tư nước ngoài</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có vốn </w:t>
            </w:r>
            <w:r>
              <w:rPr>
                <w:rFonts w:ascii="Arial" w:hAnsi="Arial" w:cs="Arial"/>
                <w:color w:val="000000"/>
                <w:sz w:val="20"/>
                <w:szCs w:val="20"/>
                <w:shd w:val="clear" w:color="auto" w:fill="FFFFFF"/>
              </w:rPr>
              <w:t>đầu tư</w:t>
            </w:r>
            <w:r>
              <w:rPr>
                <w:rFonts w:ascii="Arial" w:hAnsi="Arial" w:cs="Arial"/>
                <w:color w:val="000000"/>
                <w:sz w:val="20"/>
                <w:szCs w:val="20"/>
              </w:rPr>
              <w:t> nước ngoài (bao gồm DNCX) thực hiện nhập khẩu hàng hóa theo quyền nhập khẩu để bán trực tiếp tại Việt Nam (không qua sản xuất).</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6</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A42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Chuyển tiêu thụ nội địa khác</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hàng hóa nhập khẩu thuộc đối tượng không chịu thuế, miễn thuế, xét miễn thuế, hàng hóa được ân hạn thuế hoặc áp dụng thuế suất ưu đãi đặc biệt sau đó thay đổi đối tượng không chịu thuế hoặc mục đích miễn thuế, xét miễn thuế, áp dụng thuế suất ưu đãi, ưu đãi đặc biệt, hoặc không được ân hạn. Trừ trường hợp hàng hóa chuyển tiêu thụ nội địa từ nguồn tạm nhập sử dụng mã A21</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7</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E11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nguyên liệu của DNCX từ nước ngoài</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nhập nguyên liệu, vật tư từ nước ngoài để sản </w:t>
            </w:r>
            <w:r>
              <w:rPr>
                <w:rFonts w:ascii="Arial" w:hAnsi="Arial" w:cs="Arial"/>
                <w:color w:val="000000"/>
                <w:sz w:val="20"/>
                <w:szCs w:val="20"/>
                <w:shd w:val="clear" w:color="auto" w:fill="FFFFFF"/>
              </w:rPr>
              <w:t>xuất</w:t>
            </w:r>
            <w:r>
              <w:rPr>
                <w:rFonts w:ascii="Arial" w:hAnsi="Arial" w:cs="Arial"/>
                <w:color w:val="000000"/>
                <w:sz w:val="20"/>
                <w:szCs w:val="20"/>
              </w:rPr>
              <w:t>, gia công hàng </w:t>
            </w:r>
            <w:r>
              <w:rPr>
                <w:rFonts w:ascii="Arial" w:hAnsi="Arial" w:cs="Arial"/>
                <w:color w:val="000000"/>
                <w:sz w:val="20"/>
                <w:szCs w:val="20"/>
                <w:shd w:val="clear" w:color="auto" w:fill="FFFFFF"/>
              </w:rPr>
              <w:t>xuất khẩu</w:t>
            </w:r>
            <w:r>
              <w:rPr>
                <w:rFonts w:ascii="Arial" w:hAnsi="Arial" w:cs="Arial"/>
                <w:color w:val="000000"/>
                <w:sz w:val="20"/>
                <w:szCs w:val="20"/>
              </w:rPr>
              <w:t> của DNCX.</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8</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E13</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tạo tài sản cố định của DNCX</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nhập khẩu tạo tài sản cố định của DNCX </w:t>
            </w:r>
            <w:r>
              <w:rPr>
                <w:rFonts w:ascii="Arial" w:hAnsi="Arial" w:cs="Arial"/>
                <w:i/>
                <w:iCs/>
                <w:color w:val="000000"/>
                <w:sz w:val="20"/>
                <w:szCs w:val="20"/>
              </w:rPr>
              <w:t>(bao gồm cả nhập từ nước ngoài, từ nội địa hoặc từ DNCX khác).</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9</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E15</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nguyên liệu của DNCX từ nội địa</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Sử dụng</w:t>
            </w:r>
            <w:r>
              <w:rPr>
                <w:rFonts w:ascii="Arial" w:hAnsi="Arial" w:cs="Arial"/>
                <w:color w:val="000000"/>
                <w:sz w:val="20"/>
                <w:szCs w:val="20"/>
              </w:rPr>
              <w:t> trong trường hợp DNCX nhập khẩu nguyên liệu, vật tư để sản xuất, gia công hàng </w:t>
            </w:r>
            <w:r>
              <w:rPr>
                <w:rFonts w:ascii="Arial" w:hAnsi="Arial" w:cs="Arial"/>
                <w:color w:val="000000"/>
                <w:sz w:val="20"/>
                <w:szCs w:val="20"/>
                <w:shd w:val="clear" w:color="auto" w:fill="FFFFFF"/>
              </w:rPr>
              <w:t>xuất khẩu</w:t>
            </w:r>
            <w:r>
              <w:rPr>
                <w:rFonts w:ascii="Arial" w:hAnsi="Arial" w:cs="Arial"/>
                <w:color w:val="000000"/>
                <w:sz w:val="20"/>
                <w:szCs w:val="20"/>
              </w:rPr>
              <w:t> từ nội địa.</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10</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E21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nguyên liệu để gia công cho thương nhân nước ngoài</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nhập khẩu nguyên liệu để gia công cho thương nhân nước ngoài. Nguyên liệu thực hiện hợp đồng gia công có thể nhập theo chỉ định của thương nhân nước ngoài hoặc tự cung ứng từ nguồn nhập khẩu; sử dụng cả trong trường hợp doanh nghiệp nội địa nhận gia công cho DNCX.</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11</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E23</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nguyên liệu gia công từ hợp đồng khác chuyển sang</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w:t>
            </w:r>
            <w:r>
              <w:rPr>
                <w:rFonts w:ascii="Arial" w:hAnsi="Arial" w:cs="Arial"/>
                <w:color w:val="000000"/>
                <w:sz w:val="20"/>
                <w:szCs w:val="20"/>
                <w:shd w:val="clear" w:color="auto" w:fill="FFFFFF"/>
              </w:rPr>
              <w:t>trường hợp</w:t>
            </w:r>
            <w:r>
              <w:rPr>
                <w:rFonts w:ascii="Arial" w:hAnsi="Arial" w:cs="Arial"/>
                <w:color w:val="000000"/>
                <w:sz w:val="20"/>
                <w:szCs w:val="20"/>
              </w:rPr>
              <w:t> nhận nguyên liệu, vật tư từ </w:t>
            </w:r>
            <w:r>
              <w:rPr>
                <w:rFonts w:ascii="Arial" w:hAnsi="Arial" w:cs="Arial"/>
                <w:color w:val="000000"/>
                <w:sz w:val="20"/>
                <w:szCs w:val="20"/>
                <w:shd w:val="clear" w:color="auto" w:fill="FFFFFF"/>
              </w:rPr>
              <w:t>hợp đồng</w:t>
            </w:r>
            <w:r>
              <w:rPr>
                <w:rFonts w:ascii="Arial" w:hAnsi="Arial" w:cs="Arial"/>
                <w:color w:val="000000"/>
                <w:sz w:val="20"/>
                <w:szCs w:val="20"/>
              </w:rPr>
              <w:t> gia công khác chuyển sang theo thủ tục XNK tại chỗ.</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12</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E31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nguyên liệu sản xuất xuất khẩu</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nhập khẩu nguyên liệu, vật tư để sản xuất hàng xuất khẩu. Nguyên liệu, vật tư có thể nhập khẩu từ khu phi thuế quan, DNCX hoặc nhập tại chỗ theo chỉ định của thương nhân nước ngoài</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13</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E33</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nguyên liệu vào kho bảo thuế</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w:t>
            </w:r>
            <w:r>
              <w:rPr>
                <w:rFonts w:ascii="Arial" w:hAnsi="Arial" w:cs="Arial"/>
                <w:color w:val="000000"/>
                <w:sz w:val="20"/>
                <w:szCs w:val="20"/>
                <w:shd w:val="clear" w:color="auto" w:fill="FFFFFF"/>
              </w:rPr>
              <w:t>trong</w:t>
            </w:r>
            <w:r>
              <w:rPr>
                <w:rFonts w:ascii="Arial" w:hAnsi="Arial" w:cs="Arial"/>
                <w:color w:val="000000"/>
                <w:sz w:val="20"/>
                <w:szCs w:val="20"/>
              </w:rPr>
              <w:t> trường hợp nhập nguyên liệu, vật tư đưa vào kho bảo thuế để sản xuất hàng xuất khẩu.</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14</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E41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Nhập sản phẩm thuêgia công ở nước ngoài</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Việt Nam nhập lại sản phẩm sau khi đưa nguyên liệu, vật tư thuê nước ngoài gia công (bao gồm trường hợp doanh nghiệp nội địa nhận lại sản phẩm thuê DNCX gia công)</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15</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G11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Tạm nhập hàng kinh doanh tạm nhập tái xuất</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nhập khẩu hàng hóa theo loại hình kinh doanh tạm nhập tái xuất</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16</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G12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Tạm nhập máy móc, thiết bị phục vụ dự án cóthời hạn</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thuê mượn máy móc, thiết bị, phương tiện thi công, khuôn mẫu từ nước ngoài hoặc từ các khu phi thuế quan đưa vào Việt Nam để sản xuất, thi công công trình, thực hiện dự án, thử nghiệm;</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Tạm nhập tái xuất để bảo hành, sửa chữa;</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Tạm nhập tàu biển, máy bay nước ngoài để sửa chữa, bảo dưỡng tại Việt Nam.</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17</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G13</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Tạm nhập miễn thuế</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Sử dụng</w:t>
            </w:r>
            <w:r>
              <w:rPr>
                <w:rFonts w:ascii="Arial" w:hAnsi="Arial" w:cs="Arial"/>
                <w:color w:val="000000"/>
                <w:sz w:val="20"/>
                <w:szCs w:val="20"/>
              </w:rPr>
              <w:t> </w:t>
            </w:r>
            <w:r>
              <w:rPr>
                <w:rFonts w:ascii="Arial" w:hAnsi="Arial" w:cs="Arial"/>
                <w:color w:val="000000"/>
                <w:sz w:val="20"/>
                <w:szCs w:val="20"/>
                <w:shd w:val="clear" w:color="auto" w:fill="FFFFFF"/>
              </w:rPr>
              <w:t>trong</w:t>
            </w:r>
            <w:r>
              <w:rPr>
                <w:rFonts w:ascii="Arial" w:hAnsi="Arial" w:cs="Arial"/>
                <w:color w:val="000000"/>
                <w:sz w:val="20"/>
                <w:szCs w:val="20"/>
              </w:rPr>
              <w:t> trường hợp:</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Nhập khẩu máy móc thiết bị do bên thuê gia công cung cấp phục vụ hợp đồng gia công; máy móc từ hợp đồng khác chuyển sang;</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 Tạm nhập hàng hóa miễn thuế gồm: hàng tham dự </w:t>
            </w:r>
            <w:r>
              <w:rPr>
                <w:rFonts w:ascii="Arial" w:hAnsi="Arial" w:cs="Arial"/>
                <w:color w:val="000000"/>
                <w:sz w:val="20"/>
                <w:szCs w:val="20"/>
              </w:rPr>
              <w:lastRenderedPageBreak/>
              <w:t>hội chợ, triển lãm, giới thiệu sản phẩm; máy móc dụng cụ nghề nghiệp phục vụ hội nghị, hội thảo, nghiên cứu khoa học và phát triển sản phẩm, thi đấu thể thao, biểu diễn văn hóa, biểu diễn văn nghệ, khám chữa bệnh.</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18</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G14</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Tạm nhập khác</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các trường hợp tạm nhập kệ, giá, thùng, lọ ... theo phương tiện chứa hàng hóa theo phương thức quay vòng.</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19</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G51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Tái nhập hàng đã tạm xuất</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nhập khẩu hàng hóa đã tạm xuất (xuất theo chế độ tạm) bao gồm trường hợp hàng hóa đã tạm xuất của những cá nhân được nhà nước Việt Nam cho miễn thuế; trường hợp hàng hóa đã tạm xuất là dụng cụ, nghề nghiệp, phương tiện làm việc tạm xuất có thời hạn của cơ quan, tổ chức, của người xuất cảnh; trường hợp hàng hóa đã tạm xuất phương tiện chứa hàng hóa theo phương thức quay vòng khác (kệ, giá, thùng, lọ...)</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Lưu ý: Người khai hải quan thực hiện khai theo hướng dẫn tại Phụ lục II Thông tư số </w:t>
            </w:r>
            <w:hyperlink r:id="rId10" w:tgtFrame="_blank" w:tooltip="Thông tư 38/2015/TT-BTC" w:history="1">
              <w:r>
                <w:rPr>
                  <w:rStyle w:val="Hyperlink"/>
                  <w:rFonts w:ascii="Arial" w:hAnsi="Arial" w:cs="Arial"/>
                  <w:i/>
                  <w:iCs/>
                  <w:color w:val="0E70C3"/>
                  <w:sz w:val="20"/>
                  <w:szCs w:val="20"/>
                </w:rPr>
                <w:t>38/2015/TT-BTC</w:t>
              </w:r>
            </w:hyperlink>
            <w:r>
              <w:rPr>
                <w:rFonts w:ascii="Arial" w:hAnsi="Arial" w:cs="Arial"/>
                <w:i/>
                <w:iCs/>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20</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C11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Hàng gửi kho ngoại quan</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Sử dụng</w:t>
            </w:r>
            <w:r>
              <w:rPr>
                <w:rFonts w:ascii="Arial" w:hAnsi="Arial" w:cs="Arial"/>
                <w:color w:val="000000"/>
                <w:sz w:val="20"/>
                <w:szCs w:val="20"/>
              </w:rPr>
              <w:t> trong trường hợp hàng hóa từ nước ngoài gửi kho ngoại quan</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21</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C21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Hàng đưa vào khu phi thuế quan thuộc khu kinh tế cửa khẩu</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w:t>
            </w:r>
            <w:r>
              <w:rPr>
                <w:rFonts w:ascii="Arial" w:hAnsi="Arial" w:cs="Arial"/>
                <w:color w:val="000000"/>
                <w:sz w:val="20"/>
                <w:szCs w:val="20"/>
                <w:shd w:val="clear" w:color="auto" w:fill="FFFFFF"/>
              </w:rPr>
              <w:t>nhập khẩu</w:t>
            </w:r>
            <w:r>
              <w:rPr>
                <w:rFonts w:ascii="Arial" w:hAnsi="Arial" w:cs="Arial"/>
                <w:color w:val="000000"/>
                <w:sz w:val="20"/>
                <w:szCs w:val="20"/>
              </w:rPr>
              <w:t>hàng hóa từ nước ngoài</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22</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H11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Hàng nhập khẩu khác</w:t>
            </w:r>
          </w:p>
        </w:tc>
        <w:tc>
          <w:tcPr>
            <w:tcW w:w="24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Bao gồm hàng hóa là quà biếu, quà tặng của tổ chức, cá nhân ở Việt Nam gửi cho tổ chức, cá nhân ở nước ngoài; hàng hóa của cơ quan đại diện ngoại giao, tổ chức quốc tế tại Việt Nam và những người làm việc tại các cơ quan, tổ chức này; hàng hóa viện trợ nhân đạo, viện trợ không hoàn lại; hàng hóa là hàng mẫu không thanh toán; hàng hóa là hành lý cá nhân của người nhập cảnh gửi theo vận đơn, hàng hóa mang theo người nhập cảnh vượt tiêu chuẩn miễn thuế (bao gồm hàng hóa mua bán, trao đổi của cư dân biên giới vượt định mức miễn thuế).</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bl>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II. MÃ LOẠI HÌNH XUẤT KHẨU</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2"/>
        <w:gridCol w:w="582"/>
        <w:gridCol w:w="1453"/>
        <w:gridCol w:w="3972"/>
        <w:gridCol w:w="679"/>
        <w:gridCol w:w="2132"/>
      </w:tblGrid>
      <w:tr w:rsidR="00CC765C" w:rsidTr="00CC765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STT</w:t>
            </w:r>
          </w:p>
        </w:tc>
        <w:tc>
          <w:tcPr>
            <w:tcW w:w="30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Mã LH</w:t>
            </w:r>
          </w:p>
        </w:tc>
        <w:tc>
          <w:tcPr>
            <w:tcW w:w="75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Tên</w:t>
            </w:r>
          </w:p>
        </w:tc>
        <w:tc>
          <w:tcPr>
            <w:tcW w:w="205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Hướng dẫn sử dụng</w:t>
            </w:r>
          </w:p>
        </w:tc>
        <w:tc>
          <w:tcPr>
            <w:tcW w:w="35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Khai kết hợp</w:t>
            </w:r>
          </w:p>
        </w:tc>
        <w:tc>
          <w:tcPr>
            <w:tcW w:w="1100" w:type="pct"/>
            <w:tcBorders>
              <w:top w:val="single" w:sz="8" w:space="0" w:color="auto"/>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Ghi chú</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B11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Xuất</w:t>
            </w:r>
            <w:r>
              <w:rPr>
                <w:rFonts w:ascii="Arial" w:hAnsi="Arial" w:cs="Arial"/>
                <w:color w:val="000000"/>
                <w:sz w:val="20"/>
                <w:szCs w:val="20"/>
              </w:rPr>
              <w:t> kinh doanh</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Sử dụng trong trường hợp doanh nghiệp xuất khẩu hàng hóa kinh doanh thương mại đơn thuần ra nước ngoài hoặc xuất khẩu vào khu phi thuế quan, DNCX theo hợp đồng mua bán và trường hợp thực hiện </w:t>
            </w:r>
            <w:r>
              <w:rPr>
                <w:rFonts w:ascii="Arial" w:hAnsi="Arial" w:cs="Arial"/>
                <w:color w:val="000000"/>
                <w:sz w:val="20"/>
                <w:szCs w:val="20"/>
              </w:rPr>
              <w:lastRenderedPageBreak/>
              <w:t>quyền kinh doanh xuất khẩu của doanh nghiệp đầu tư nước ngoài (bao gồm cả quyền kinh doanh của DNCX).</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xml:space="preserve">Lưu ý: Trường hợp hàng hóa xuất khẩu là sản phẩm gia công, SXXK, sản phẩm của DNCX thì khai báo theo </w:t>
            </w:r>
            <w:r>
              <w:rPr>
                <w:rFonts w:ascii="Arial" w:hAnsi="Arial" w:cs="Arial"/>
                <w:i/>
                <w:iCs/>
                <w:color w:val="000000"/>
                <w:sz w:val="20"/>
                <w:szCs w:val="20"/>
              </w:rPr>
              <w:lastRenderedPageBreak/>
              <w:t>mã loại hình riêng.</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2</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B12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Xuất</w:t>
            </w:r>
            <w:r>
              <w:rPr>
                <w:rFonts w:ascii="Arial" w:hAnsi="Arial" w:cs="Arial"/>
                <w:color w:val="000000"/>
                <w:sz w:val="20"/>
                <w:szCs w:val="20"/>
              </w:rPr>
              <w:t> sau khi đã tạm xuất</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đã tạm xuất hàng hóa nay quyết định bán, tặng... hàng hóa này ở nước ngoài (không tái nhập về Việt Nam).</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Sử dụng trong trường hợp hàng hóa đã tạm xuất theo mã loại hình G61</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3</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B13</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Xuất khẩu hàng đã nhập khẩu</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Hàng nhập khẩu của các loại hình phải trả lại (gồm tái xuất để trả lại cho khách hàng nước ngoài; tái xuất sang nước thứ ba hoặc xuất vào khu phi thuế quan);</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Hàng hóa là nguyên phụ liệu dư thừa của hợp đồng gia công xuất trả bên đặt gia công ở nước ngoài;</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Hàng hóa là máy móc, thiết bị của doanh nghiệp chế xuất, máy móc, thiết bị được miễn thuế thanh lý theo hình thức bán ra nước ngoài.</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4</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E42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Xuất khẩu</w:t>
            </w:r>
            <w:r>
              <w:rPr>
                <w:rFonts w:ascii="Arial" w:hAnsi="Arial" w:cs="Arial"/>
                <w:color w:val="000000"/>
                <w:sz w:val="20"/>
                <w:szCs w:val="20"/>
              </w:rPr>
              <w:t>sản phẩm của DNCX</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Sử dụng</w:t>
            </w:r>
            <w:r>
              <w:rPr>
                <w:rFonts w:ascii="Arial" w:hAnsi="Arial" w:cs="Arial"/>
                <w:color w:val="000000"/>
                <w:sz w:val="20"/>
                <w:szCs w:val="20"/>
              </w:rPr>
              <w:t> </w:t>
            </w:r>
            <w:r>
              <w:rPr>
                <w:rFonts w:ascii="Arial" w:hAnsi="Arial" w:cs="Arial"/>
                <w:color w:val="000000"/>
                <w:sz w:val="20"/>
                <w:szCs w:val="20"/>
                <w:shd w:val="clear" w:color="auto" w:fill="FFFFFF"/>
              </w:rPr>
              <w:t>trong</w:t>
            </w:r>
            <w:r>
              <w:rPr>
                <w:rFonts w:ascii="Arial" w:hAnsi="Arial" w:cs="Arial"/>
                <w:color w:val="000000"/>
                <w:sz w:val="20"/>
                <w:szCs w:val="20"/>
              </w:rPr>
              <w:t> trường hợp xuất khẩu sản </w:t>
            </w:r>
            <w:r>
              <w:rPr>
                <w:rFonts w:ascii="Arial" w:hAnsi="Arial" w:cs="Arial"/>
                <w:color w:val="000000"/>
                <w:sz w:val="20"/>
                <w:szCs w:val="20"/>
                <w:shd w:val="clear" w:color="auto" w:fill="FFFFFF"/>
              </w:rPr>
              <w:t>phẩm</w:t>
            </w:r>
            <w:r>
              <w:rPr>
                <w:rFonts w:ascii="Arial" w:hAnsi="Arial" w:cs="Arial"/>
                <w:color w:val="000000"/>
                <w:sz w:val="20"/>
                <w:szCs w:val="20"/>
              </w:rPr>
              <w:t> của DNCX bao gồm cả trường hợp xuất ra nước ngoài và xuất vào nội địa.</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Trường hợp xuất vào nội địa phải khai các chỉ tiêu thông tin về XNK tại chỗ như mã điểm đích vận chuyển bảo thuế và chỉ tiêu số quản lý nội bộ</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5</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E52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Xuất sản phẩm gia công cho thương nhân nước ngoài</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xuất sản phẩm cho đối tác thuê gia công ở nước ngoài. Bao gồm cả trường hợp xuất sản phẩm tự cung ứng nguyên liệu và trường hợp doanh nghiệp nội địa xuất trả sản phẩm gia công cho DNCX, doanh nghiệp trong khu phi thuế quan.</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Trường hợp xuất vào DNCX, khu PTQ phải khai các chỉ tiêu thông tin về XNK tại chỗnhư mã điểm đích vận chuyển bảo thuế và chỉ tiêu sốquản lý nội bộ</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6</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E54</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shd w:val="clear" w:color="auto" w:fill="FFFFFF"/>
              </w:rPr>
              <w:t>Xuất</w:t>
            </w:r>
            <w:r>
              <w:rPr>
                <w:rFonts w:ascii="Arial" w:hAnsi="Arial" w:cs="Arial"/>
                <w:color w:val="000000"/>
                <w:sz w:val="20"/>
                <w:szCs w:val="20"/>
              </w:rPr>
              <w:t> nguyên liệu gia công từ hợp đồng này sang </w:t>
            </w:r>
            <w:r>
              <w:rPr>
                <w:rFonts w:ascii="Arial" w:hAnsi="Arial" w:cs="Arial"/>
                <w:color w:val="000000"/>
                <w:sz w:val="20"/>
                <w:szCs w:val="20"/>
                <w:shd w:val="clear" w:color="auto" w:fill="FFFFFF"/>
              </w:rPr>
              <w:t>hợp đồng</w:t>
            </w:r>
            <w:r>
              <w:rPr>
                <w:rFonts w:ascii="Arial" w:hAnsi="Arial" w:cs="Arial"/>
                <w:color w:val="000000"/>
                <w:sz w:val="20"/>
                <w:szCs w:val="20"/>
              </w:rPr>
              <w:t>khác</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chuyển nguyên liệu, vật tư từ hợp đồng này sang hợp đồng khác, không bao gồm việc chuyển thiết bị, máy móc (thiết bị máy móc khai báo theo chế độ tạm, khi chuyển sử dụng G23).</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Trường hợp này phải khai các chỉ tiêu thông tin về XNK tại chỗ như mã điểm đích vận chuyển bảo thuế và chỉ tiêu số quản lý nội bộ.</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7</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E56</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Xuất sản phẩm giacông giao hàng tại nội địa</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xuất sản phẩm gia công cho đối tác nước ngoài có chỉ định giao hàng tại Việt Nam, bao gồm cả trường hợp xuất khẩu sản phẩm gia công chuyển tiếp.</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xml:space="preserve">Lưu ý: Trường hợp này phải khai các chỉ tiêu thông tin về XNK tại chỗ như mã điểm đích vận chuyển bảo thuế </w:t>
            </w:r>
            <w:r>
              <w:rPr>
                <w:rFonts w:ascii="Arial" w:hAnsi="Arial" w:cs="Arial"/>
                <w:i/>
                <w:iCs/>
                <w:color w:val="000000"/>
                <w:sz w:val="20"/>
                <w:szCs w:val="20"/>
              </w:rPr>
              <w:lastRenderedPageBreak/>
              <w:t>và chỉ tiêu số quản lýnội bộ.</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8</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E62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Xuất sản phẩm sản xuất xuất khẩu</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Xuất sản phẩm được sản xuất từ nguyên liệu nhập khẩu (bao gồm trường hợp xuất cho thương nhân nước ngoài và được chỉ định giao hàng tại Việt Nam, xuất sản phẩm sản xuất từ nguyên liệu gửi kho bảo thuế).</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Trường hợp xuất vào nội địa phải khai các chỉ tiêu thông tin về XNK tại chỗ như mã điểm đích vận chuyển bảo thuế và chỉ tiêu số quản lýnội bộ.</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9</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E82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Xuất nguyên liệu, vật tư thuê gia công ở nước ngoài</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doanh nghiệp Việt Nam </w:t>
            </w:r>
            <w:r>
              <w:rPr>
                <w:rFonts w:ascii="Arial" w:hAnsi="Arial" w:cs="Arial"/>
                <w:color w:val="000000"/>
                <w:sz w:val="20"/>
                <w:szCs w:val="20"/>
                <w:shd w:val="clear" w:color="auto" w:fill="FFFFFF"/>
              </w:rPr>
              <w:t>xuất</w:t>
            </w:r>
            <w:r>
              <w:rPr>
                <w:rFonts w:ascii="Arial" w:hAnsi="Arial" w:cs="Arial"/>
                <w:color w:val="000000"/>
                <w:sz w:val="20"/>
                <w:szCs w:val="20"/>
              </w:rPr>
              <w:t> nguyên liệu, vật tư thuê nước ngoài gia công.</w:t>
            </w:r>
          </w:p>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Trường hợp xuất khẩu máy móc thiết bị theo dõi bằng chế độ tạmG61.</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10</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G21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Tái </w:t>
            </w:r>
            <w:r>
              <w:rPr>
                <w:rFonts w:ascii="Arial" w:hAnsi="Arial" w:cs="Arial"/>
                <w:color w:val="000000"/>
                <w:sz w:val="20"/>
                <w:szCs w:val="20"/>
                <w:shd w:val="clear" w:color="auto" w:fill="FFFFFF"/>
              </w:rPr>
              <w:t>xuất</w:t>
            </w:r>
            <w:r>
              <w:rPr>
                <w:rFonts w:ascii="Arial" w:hAnsi="Arial" w:cs="Arial"/>
                <w:color w:val="000000"/>
                <w:sz w:val="20"/>
                <w:szCs w:val="20"/>
              </w:rPr>
              <w:t>hàng kinh doanh tạm nhập tái xuất</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khi tái xuất hàng kinh doanh TNTX đã tạm nhập theo mã G11 (bao gồm </w:t>
            </w:r>
            <w:r>
              <w:rPr>
                <w:rFonts w:ascii="Arial" w:hAnsi="Arial" w:cs="Arial"/>
                <w:color w:val="000000"/>
                <w:sz w:val="20"/>
                <w:szCs w:val="20"/>
                <w:shd w:val="clear" w:color="auto" w:fill="FFFFFF"/>
              </w:rPr>
              <w:t>hoán</w:t>
            </w:r>
            <w:r>
              <w:rPr>
                <w:rFonts w:ascii="Arial" w:hAnsi="Arial" w:cs="Arial"/>
                <w:color w:val="000000"/>
                <w:sz w:val="20"/>
                <w:szCs w:val="20"/>
              </w:rPr>
              <w:t>đổi xăng dầu tái xuất).</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Doanh nghiệp tự xác định và khai thời hạn lưu giữ tại Việt Nam trên tờ khai hải quan. Trường hợp gia hạn phải thực hiện sửa đổi, bổ sung thông tin quản lý hàng TNTX</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11</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G22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Tái </w:t>
            </w:r>
            <w:r>
              <w:rPr>
                <w:rFonts w:ascii="Arial" w:hAnsi="Arial" w:cs="Arial"/>
                <w:color w:val="000000"/>
                <w:sz w:val="20"/>
                <w:szCs w:val="20"/>
                <w:shd w:val="clear" w:color="auto" w:fill="FFFFFF"/>
              </w:rPr>
              <w:t>xuất</w:t>
            </w:r>
            <w:r>
              <w:rPr>
                <w:rFonts w:ascii="Arial" w:hAnsi="Arial" w:cs="Arial"/>
                <w:color w:val="000000"/>
                <w:sz w:val="20"/>
                <w:szCs w:val="20"/>
              </w:rPr>
              <w:t> máy móc, thiết bịphục vụ dự án có thời hạn</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hàng hóa là máy móc, thiết bị đã tạm nhập theo mã G12, khi hết thời hạn thuê, kết thúc dự án phải tái xuất.</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Doanh nghiệp tự xác định và khai thời hạn lưu giữ tại Việt Nam trên tờ khai hải quan. Trường hợp gia hạn phải thực hiện sửa đổi, bổ sung thông tin quản lý hàng TNTX</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12</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G23</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Tái xuất miễn thuế hàng tạm nhập</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tái xuất hàng hóa đã tạm nhập sử dụng mãG13.</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13</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G24</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Tái xuất khác</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các trường hợp tái xuất nhập kệ, giá, thùng, lọ ... theo phương tiện chứa hàng hóa theo phương thức quay vòng đã tạm nhập theo mã G14.</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14</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G61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Tạm xuất hàng hóa</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w:t>
            </w:r>
            <w:r>
              <w:rPr>
                <w:rFonts w:ascii="Arial" w:hAnsi="Arial" w:cs="Arial"/>
                <w:color w:val="000000"/>
                <w:sz w:val="20"/>
                <w:szCs w:val="20"/>
                <w:shd w:val="clear" w:color="auto" w:fill="FFFFFF"/>
              </w:rPr>
              <w:t>trong</w:t>
            </w:r>
            <w:r>
              <w:rPr>
                <w:rFonts w:ascii="Arial" w:hAnsi="Arial" w:cs="Arial"/>
                <w:color w:val="000000"/>
                <w:sz w:val="20"/>
                <w:szCs w:val="20"/>
              </w:rPr>
              <w:t> trường hợp tạm </w:t>
            </w:r>
            <w:r>
              <w:rPr>
                <w:rFonts w:ascii="Arial" w:hAnsi="Arial" w:cs="Arial"/>
                <w:color w:val="000000"/>
                <w:sz w:val="20"/>
                <w:szCs w:val="20"/>
                <w:shd w:val="clear" w:color="auto" w:fill="FFFFFF"/>
              </w:rPr>
              <w:t>xuất</w:t>
            </w:r>
            <w:r>
              <w:rPr>
                <w:rFonts w:ascii="Arial" w:hAnsi="Arial" w:cs="Arial"/>
                <w:color w:val="000000"/>
                <w:sz w:val="20"/>
                <w:szCs w:val="20"/>
              </w:rPr>
              <w:t>hàng hóa ra nước ngoài, vào khu PTQ, từ khu PTQ ra nước ngoài theo chế độ tạm. Bao gồm cả các trường hợp hàng hóa tạm xuất của những cá nhân được nhà nước Việt Nam cho miễn thuế; trường hợp hàng hóa đã tạm xuất là dụng cụ, nghề nghiệp, phương tiện làm việc tạm </w:t>
            </w:r>
            <w:r>
              <w:rPr>
                <w:rFonts w:ascii="Arial" w:hAnsi="Arial" w:cs="Arial"/>
                <w:color w:val="000000"/>
                <w:sz w:val="20"/>
                <w:szCs w:val="20"/>
                <w:shd w:val="clear" w:color="auto" w:fill="FFFFFF"/>
              </w:rPr>
              <w:t>xuất</w:t>
            </w:r>
            <w:r>
              <w:rPr>
                <w:rFonts w:ascii="Arial" w:hAnsi="Arial" w:cs="Arial"/>
                <w:color w:val="000000"/>
                <w:sz w:val="20"/>
                <w:szCs w:val="20"/>
              </w:rPr>
              <w:t xml:space="preserve"> có thời hạn của cơ quan, tổ chức, của người xuất cảnh; </w:t>
            </w:r>
            <w:r>
              <w:rPr>
                <w:rFonts w:ascii="Arial" w:hAnsi="Arial" w:cs="Arial"/>
                <w:color w:val="000000"/>
                <w:sz w:val="20"/>
                <w:szCs w:val="20"/>
              </w:rPr>
              <w:lastRenderedPageBreak/>
              <w:t>trường hợp hàng hóa đã tạm xuất phương tiện chứa hàng hóa theo phương thức quay vòng khác (kệ, giá, thùng, lọ.. .).</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Người khai hải quan thực hiện khai theo hướng dẫn tại Phụ lục II Thông tư số 38/2015/TT-BTC.</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lastRenderedPageBreak/>
              <w:t>15</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C22</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Hàng đưa ra khu phi thuế quan</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Sử dụng trong trường hợp hàng hóa xuất khẩu từ khu phi thuế quan thuộc khu kinh tế cửa khẩu ra nước ngoài hoặc vào thị trường nội địa.</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X</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Khi xuất vào thị trường nội địa phải khai chỉ tiêu thông tin về XNK tại chỗ như mã điểm đích vận chuyển bảo thuế và chỉ tiêu số quản lý nội bộ.</w:t>
            </w:r>
          </w:p>
        </w:tc>
      </w:tr>
      <w:tr w:rsidR="00CC765C" w:rsidTr="00CC765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16</w:t>
            </w:r>
          </w:p>
        </w:tc>
        <w:tc>
          <w:tcPr>
            <w:tcW w:w="3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H21</w:t>
            </w:r>
          </w:p>
        </w:tc>
        <w:tc>
          <w:tcPr>
            <w:tcW w:w="7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Xuất khẩu hàng khác</w:t>
            </w:r>
          </w:p>
        </w:tc>
        <w:tc>
          <w:tcPr>
            <w:tcW w:w="20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Hàng hóa là quà biếu, quà tặng của </w:t>
            </w:r>
            <w:r>
              <w:rPr>
                <w:rFonts w:ascii="Arial" w:hAnsi="Arial" w:cs="Arial"/>
                <w:color w:val="000000"/>
                <w:sz w:val="20"/>
                <w:szCs w:val="20"/>
                <w:shd w:val="clear" w:color="auto" w:fill="FFFFFF"/>
              </w:rPr>
              <w:t>tổ chức</w:t>
            </w:r>
            <w:r>
              <w:rPr>
                <w:rFonts w:ascii="Arial" w:hAnsi="Arial" w:cs="Arial"/>
                <w:color w:val="000000"/>
                <w:sz w:val="20"/>
                <w:szCs w:val="20"/>
              </w:rPr>
              <w:t>, cá nhân ở Việt Nam gửi cho tổ chức, cá nhân ở nước ngoài; hàng hóa của cơ quan đại diện ngoại giao, tổ chức quốc tế tại Việt Nam và những người làm việc tại các cơ quan, </w:t>
            </w:r>
            <w:r>
              <w:rPr>
                <w:rFonts w:ascii="Arial" w:hAnsi="Arial" w:cs="Arial"/>
                <w:color w:val="000000"/>
                <w:sz w:val="20"/>
                <w:szCs w:val="20"/>
                <w:shd w:val="clear" w:color="auto" w:fill="FFFFFF"/>
              </w:rPr>
              <w:t>tổ chức</w:t>
            </w:r>
            <w:r>
              <w:rPr>
                <w:rFonts w:ascii="Arial" w:hAnsi="Arial" w:cs="Arial"/>
                <w:color w:val="000000"/>
                <w:sz w:val="20"/>
                <w:szCs w:val="20"/>
              </w:rPr>
              <w:t> này; hàng hóa viện trợ nhân đạo, viện trợ không hoàn lại; hàng hóa là hàng mẫu không thanh toán; hàng hóa là hành lý cá nhân của người xuất cảnh gửi theo vận đơn, hàng hóa mang theo người xuất cảnh vượt tiêu chuẩn miễn thuế; hàng hóa mua bán, trao đổi của cư dân biên giới vượt định mức miễn thuế.</w:t>
            </w:r>
          </w:p>
        </w:tc>
        <w:tc>
          <w:tcPr>
            <w:tcW w:w="35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tc>
        <w:tc>
          <w:tcPr>
            <w:tcW w:w="1100" w:type="pct"/>
            <w:tcBorders>
              <w:top w:val="nil"/>
              <w:left w:val="nil"/>
              <w:bottom w:val="single" w:sz="8" w:space="0" w:color="auto"/>
              <w:right w:val="single" w:sz="8" w:space="0" w:color="auto"/>
            </w:tcBorders>
            <w:shd w:val="clear" w:color="auto" w:fill="FFFFFF"/>
            <w:hideMark/>
          </w:tcPr>
          <w:p w:rsidR="00CC765C" w:rsidRDefault="00CC765C">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Người khai hải quan thực hiện khai theo hướng dẫn tại Phụ lục II Thông tư số38/2015/77-BTC.</w:t>
            </w:r>
          </w:p>
        </w:tc>
      </w:tr>
    </w:tbl>
    <w:p w:rsidR="00CC765C" w:rsidRDefault="00CC765C" w:rsidP="00CC765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266947" w:rsidRPr="00CC765C" w:rsidRDefault="00266947" w:rsidP="00CC765C">
      <w:bookmarkStart w:id="0" w:name="_GoBack"/>
      <w:bookmarkEnd w:id="0"/>
    </w:p>
    <w:sectPr w:rsidR="00266947" w:rsidRPr="00CC765C" w:rsidSect="008744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1F" w:rsidRDefault="00D9631F" w:rsidP="007446EA">
      <w:pPr>
        <w:spacing w:after="0" w:line="240" w:lineRule="auto"/>
      </w:pPr>
      <w:r>
        <w:separator/>
      </w:r>
    </w:p>
  </w:endnote>
  <w:endnote w:type="continuationSeparator" w:id="0">
    <w:p w:rsidR="00D9631F" w:rsidRDefault="00D9631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1F" w:rsidRDefault="00D9631F" w:rsidP="007446EA">
      <w:pPr>
        <w:spacing w:after="0" w:line="240" w:lineRule="auto"/>
      </w:pPr>
      <w:r>
        <w:separator/>
      </w:r>
    </w:p>
  </w:footnote>
  <w:footnote w:type="continuationSeparator" w:id="0">
    <w:p w:rsidR="00D9631F" w:rsidRDefault="00D9631F"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1B5670"/>
    <w:rsid w:val="00266947"/>
    <w:rsid w:val="002C6432"/>
    <w:rsid w:val="003C01DF"/>
    <w:rsid w:val="00495513"/>
    <w:rsid w:val="00640271"/>
    <w:rsid w:val="00703F3D"/>
    <w:rsid w:val="007446EA"/>
    <w:rsid w:val="00770BA3"/>
    <w:rsid w:val="007B275F"/>
    <w:rsid w:val="008744ED"/>
    <w:rsid w:val="00926C24"/>
    <w:rsid w:val="009874E5"/>
    <w:rsid w:val="00A978BE"/>
    <w:rsid w:val="00AC07C4"/>
    <w:rsid w:val="00B551AD"/>
    <w:rsid w:val="00B90BE2"/>
    <w:rsid w:val="00CC765C"/>
    <w:rsid w:val="00D9631F"/>
    <w:rsid w:val="00E956B9"/>
    <w:rsid w:val="00EB4CB5"/>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027">
      <w:bodyDiv w:val="1"/>
      <w:marLeft w:val="0"/>
      <w:marRight w:val="0"/>
      <w:marTop w:val="0"/>
      <w:marBottom w:val="0"/>
      <w:divBdr>
        <w:top w:val="none" w:sz="0" w:space="0" w:color="auto"/>
        <w:left w:val="none" w:sz="0" w:space="0" w:color="auto"/>
        <w:bottom w:val="none" w:sz="0" w:space="0" w:color="auto"/>
        <w:right w:val="none" w:sz="0" w:space="0" w:color="auto"/>
      </w:divBdr>
    </w:div>
    <w:div w:id="45033105">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sChild>
        <w:div w:id="1515193042">
          <w:marLeft w:val="0"/>
          <w:marRight w:val="0"/>
          <w:marTop w:val="0"/>
          <w:marBottom w:val="0"/>
          <w:divBdr>
            <w:top w:val="none" w:sz="0" w:space="0" w:color="auto"/>
            <w:left w:val="none" w:sz="0" w:space="0" w:color="auto"/>
            <w:bottom w:val="none" w:sz="0" w:space="0" w:color="auto"/>
            <w:right w:val="none" w:sz="0" w:space="0" w:color="auto"/>
          </w:divBdr>
          <w:divsChild>
            <w:div w:id="1287617360">
              <w:marLeft w:val="0"/>
              <w:marRight w:val="0"/>
              <w:marTop w:val="0"/>
              <w:marBottom w:val="0"/>
              <w:divBdr>
                <w:top w:val="none" w:sz="0" w:space="0" w:color="auto"/>
                <w:left w:val="none" w:sz="0" w:space="0" w:color="auto"/>
                <w:bottom w:val="none" w:sz="0" w:space="0" w:color="auto"/>
                <w:right w:val="none" w:sz="0" w:space="0" w:color="auto"/>
              </w:divBdr>
              <w:divsChild>
                <w:div w:id="2096508416">
                  <w:marLeft w:val="0"/>
                  <w:marRight w:val="0"/>
                  <w:marTop w:val="0"/>
                  <w:marBottom w:val="0"/>
                  <w:divBdr>
                    <w:top w:val="none" w:sz="0" w:space="0" w:color="auto"/>
                    <w:left w:val="none" w:sz="0" w:space="0" w:color="auto"/>
                    <w:bottom w:val="none" w:sz="0" w:space="0" w:color="auto"/>
                    <w:right w:val="none" w:sz="0" w:space="0" w:color="auto"/>
                  </w:divBdr>
                  <w:divsChild>
                    <w:div w:id="1795363854">
                      <w:marLeft w:val="0"/>
                      <w:marRight w:val="0"/>
                      <w:marTop w:val="0"/>
                      <w:marBottom w:val="0"/>
                      <w:divBdr>
                        <w:top w:val="none" w:sz="0" w:space="0" w:color="auto"/>
                        <w:left w:val="none" w:sz="0" w:space="0" w:color="auto"/>
                        <w:bottom w:val="none" w:sz="0" w:space="0" w:color="auto"/>
                        <w:right w:val="none" w:sz="0" w:space="0" w:color="auto"/>
                      </w:divBdr>
                      <w:divsChild>
                        <w:div w:id="241106967">
                          <w:marLeft w:val="0"/>
                          <w:marRight w:val="0"/>
                          <w:marTop w:val="0"/>
                          <w:marBottom w:val="0"/>
                          <w:divBdr>
                            <w:top w:val="none" w:sz="0" w:space="0" w:color="auto"/>
                            <w:left w:val="none" w:sz="0" w:space="0" w:color="auto"/>
                            <w:bottom w:val="none" w:sz="0" w:space="0" w:color="auto"/>
                            <w:right w:val="none" w:sz="0" w:space="0" w:color="auto"/>
                          </w:divBdr>
                          <w:divsChild>
                            <w:div w:id="722365368">
                              <w:marLeft w:val="0"/>
                              <w:marRight w:val="0"/>
                              <w:marTop w:val="0"/>
                              <w:marBottom w:val="0"/>
                              <w:divBdr>
                                <w:top w:val="none" w:sz="0" w:space="0" w:color="auto"/>
                                <w:left w:val="none" w:sz="0" w:space="0" w:color="auto"/>
                                <w:bottom w:val="none" w:sz="0" w:space="0" w:color="auto"/>
                                <w:right w:val="none" w:sz="0" w:space="0" w:color="auto"/>
                              </w:divBdr>
                              <w:divsChild>
                                <w:div w:id="901522699">
                                  <w:marLeft w:val="0"/>
                                  <w:marRight w:val="0"/>
                                  <w:marTop w:val="0"/>
                                  <w:marBottom w:val="0"/>
                                  <w:divBdr>
                                    <w:top w:val="none" w:sz="0" w:space="0" w:color="auto"/>
                                    <w:left w:val="none" w:sz="0" w:space="0" w:color="auto"/>
                                    <w:bottom w:val="none" w:sz="0" w:space="0" w:color="auto"/>
                                    <w:right w:val="none" w:sz="0" w:space="0" w:color="auto"/>
                                  </w:divBdr>
                                  <w:divsChild>
                                    <w:div w:id="16911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899640">
          <w:marLeft w:val="0"/>
          <w:marRight w:val="0"/>
          <w:marTop w:val="0"/>
          <w:marBottom w:val="0"/>
          <w:divBdr>
            <w:top w:val="none" w:sz="0" w:space="0" w:color="auto"/>
            <w:left w:val="none" w:sz="0" w:space="0" w:color="auto"/>
            <w:bottom w:val="none" w:sz="0" w:space="0" w:color="auto"/>
            <w:right w:val="none" w:sz="0" w:space="0" w:color="auto"/>
          </w:divBdr>
        </w:div>
        <w:div w:id="2134202000">
          <w:marLeft w:val="0"/>
          <w:marRight w:val="0"/>
          <w:marTop w:val="0"/>
          <w:marBottom w:val="0"/>
          <w:divBdr>
            <w:top w:val="none" w:sz="0" w:space="0" w:color="auto"/>
            <w:left w:val="none" w:sz="0" w:space="0" w:color="auto"/>
            <w:bottom w:val="none" w:sz="0" w:space="0" w:color="auto"/>
            <w:right w:val="none" w:sz="0" w:space="0" w:color="auto"/>
          </w:divBdr>
        </w:div>
        <w:div w:id="9457863">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65662349">
      <w:bodyDiv w:val="1"/>
      <w:marLeft w:val="0"/>
      <w:marRight w:val="0"/>
      <w:marTop w:val="0"/>
      <w:marBottom w:val="0"/>
      <w:divBdr>
        <w:top w:val="none" w:sz="0" w:space="0" w:color="auto"/>
        <w:left w:val="none" w:sz="0" w:space="0" w:color="auto"/>
        <w:bottom w:val="none" w:sz="0" w:space="0" w:color="auto"/>
        <w:right w:val="none" w:sz="0" w:space="0" w:color="auto"/>
      </w:divBdr>
    </w:div>
    <w:div w:id="697125164">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uat-nhap-khau/thong-tu-38-2015-tt-btc-thu-tuc-hai-quan-thue-xuat-khau-nhap-khau-quan-ly-thue-hang-xuat-nhap-khau-269789.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xuat-nhap-khau/nghi-dinh-08-2015-nd-cp-thi-hanh-luat-hai-quan-ve-thu-tuc-kiem-tra-giam-sat-kiem-soat-hai-quan-263815.aspx"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xuat-nhap-khau/thong-tu-38-2015-tt-btc-thu-tuc-hai-quan-thue-xuat-khau-nhap-khau-quan-ly-thue-hang-xuat-nhap-khau-269789.aspx" TargetMode="External"/><Relationship Id="rId4" Type="http://schemas.openxmlformats.org/officeDocument/2006/relationships/webSettings" Target="webSettings.xml"/><Relationship Id="rId9" Type="http://schemas.openxmlformats.org/officeDocument/2006/relationships/hyperlink" Target="https://thuvienphapluat.vn/cong-van/xuat-nhap-khau/cong-van-3283-tchq-gsql-ma-loai-hinh-xuat-nhap-khau-tren-he-thong-vnaccs-2014-22519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2018-10-22T04:47:00Z</dcterms:created>
  <dcterms:modified xsi:type="dcterms:W3CDTF">2018-10-22T04:47:00Z</dcterms:modified>
</cp:coreProperties>
</file>