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242"/>
        <w:gridCol w:w="5280"/>
      </w:tblGrid>
      <w:tr w:rsidR="007413DD" w:rsidTr="007413DD">
        <w:trPr>
          <w:tblCellSpacing w:w="0" w:type="dxa"/>
        </w:trPr>
        <w:tc>
          <w:tcPr>
            <w:tcW w:w="3348" w:type="dxa"/>
            <w:tcMar>
              <w:top w:w="0" w:type="dxa"/>
              <w:left w:w="108" w:type="dxa"/>
              <w:bottom w:w="0" w:type="dxa"/>
              <w:right w:w="108" w:type="dxa"/>
            </w:tcMar>
            <w:hideMark/>
          </w:tcPr>
          <w:p w:rsidR="007413DD" w:rsidRDefault="00F42748">
            <w:pPr>
              <w:pStyle w:val="NormalWeb"/>
              <w:spacing w:before="120" w:beforeAutospacing="0" w:after="120" w:afterAutospacing="0" w:line="234" w:lineRule="atLeast"/>
              <w:jc w:val="center"/>
            </w:pPr>
            <w:r>
              <w:rPr>
                <w:b/>
                <w:bCs/>
                <w:lang w:val="en-US"/>
              </w:rPr>
              <w:t>B</w:t>
            </w:r>
            <w:bookmarkStart w:id="0" w:name="_GoBack"/>
            <w:bookmarkEnd w:id="0"/>
            <w:r w:rsidR="007413DD">
              <w:rPr>
                <w:b/>
                <w:bCs/>
              </w:rPr>
              <w:t>Ộ NỘI VỤ</w:t>
            </w:r>
            <w:r w:rsidR="007413DD">
              <w:rPr>
                <w:b/>
                <w:bCs/>
              </w:rPr>
              <w:br/>
              <w:t>-------</w:t>
            </w:r>
          </w:p>
        </w:tc>
        <w:tc>
          <w:tcPr>
            <w:tcW w:w="550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b/>
                <w:bCs/>
              </w:rPr>
              <w:t>CỘNG HÒA XÃ HỘI CHỦ NGHĨA VIỆT NAM</w:t>
            </w:r>
            <w:r>
              <w:rPr>
                <w:b/>
                <w:bCs/>
              </w:rPr>
              <w:br/>
              <w:t>Độc lập - Tự do - Hạnh phúc </w:t>
            </w:r>
            <w:r>
              <w:rPr>
                <w:b/>
                <w:bCs/>
              </w:rPr>
              <w:br/>
              <w:t>---------------</w:t>
            </w:r>
          </w:p>
        </w:tc>
      </w:tr>
      <w:tr w:rsidR="007413DD" w:rsidTr="007413DD">
        <w:trPr>
          <w:tblCellSpacing w:w="0" w:type="dxa"/>
        </w:trPr>
        <w:tc>
          <w:tcPr>
            <w:tcW w:w="334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Số: 13/2010/TT-BNV</w:t>
            </w:r>
          </w:p>
        </w:tc>
        <w:tc>
          <w:tcPr>
            <w:tcW w:w="550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right"/>
            </w:pPr>
            <w:r>
              <w:rPr>
                <w:i/>
                <w:iCs/>
              </w:rPr>
              <w:t>Hà Nội, ngày 30 tháng 12 năm 2010</w:t>
            </w:r>
          </w:p>
        </w:tc>
      </w:tr>
    </w:tbl>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
      <w:r>
        <w:rPr>
          <w:rFonts w:ascii="Arial" w:hAnsi="Arial" w:cs="Arial"/>
          <w:b/>
          <w:bCs/>
          <w:color w:val="000000"/>
        </w:rPr>
        <w:t>THÔNG TƯ</w:t>
      </w:r>
      <w:bookmarkEnd w:id="1"/>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loai_1_name"/>
      <w:r>
        <w:rPr>
          <w:rFonts w:ascii="Arial" w:hAnsi="Arial" w:cs="Arial"/>
          <w:color w:val="000000"/>
          <w:sz w:val="18"/>
          <w:szCs w:val="18"/>
        </w:rPr>
        <w:t>QUY ĐỊNH CHI TIẾT MỘT SỐ ĐIỀU VỀ TUYỂN DỤNG VÀ NÂNG NGẠCH CÔNG CHỨC CỦA NGHỊ ĐỊNH SỐ </w:t>
      </w:r>
      <w:bookmarkEnd w:id="2"/>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"https://thuvienphapluat.vn/van-ban/bo-may-hanh-chinh/nghi-dinh-24-2010-nd-cp-tuyen-dung-su-dung-quan-ly-cong-chuc-102412.aspx" \o "Nghị định 24/2010/NĐ-CP"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24/2010/NĐ-CP</w:t>
      </w:r>
      <w:r>
        <w:rPr>
          <w:rFonts w:ascii="Arial" w:hAnsi="Arial" w:cs="Arial"/>
          <w:color w:val="000000"/>
          <w:sz w:val="18"/>
          <w:szCs w:val="18"/>
        </w:rPr>
        <w:fldChar w:fldCharType="end"/>
      </w:r>
      <w:r>
        <w:rPr>
          <w:rFonts w:ascii="Arial" w:hAnsi="Arial" w:cs="Arial"/>
          <w:color w:val="000000"/>
          <w:sz w:val="18"/>
          <w:szCs w:val="18"/>
        </w:rPr>
        <w:t> NGÀY 15 THÁNG 3 NĂM 2010 CỦA CHÍNH PHỦ QUY ĐỊNH VỀ TUYỂN DỤNG, SỬ DỤNG VÀ QUẢN LÝ CÔNG CHỨC</w:t>
      </w:r>
    </w:p>
    <w:p w:rsidR="007413DD" w:rsidRDefault="007413DD" w:rsidP="007413D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Luật Cán bộ, công chức ngày 13 tháng 11 năm 2008;</w:t>
      </w:r>
      <w:r>
        <w:rPr>
          <w:rFonts w:ascii="Arial" w:hAnsi="Arial" w:cs="Arial"/>
          <w:i/>
          <w:iCs/>
          <w:color w:val="000000"/>
          <w:sz w:val="18"/>
          <w:szCs w:val="18"/>
        </w:rPr>
        <w:br/>
        <w:t>Căn cứ Nghị định số </w:t>
      </w:r>
      <w:hyperlink r:id="rId6" w:tgtFrame="_blank" w:tooltip="Nghị định 24/2010/NĐ-CP" w:history="1">
        <w:r>
          <w:rPr>
            <w:rStyle w:val="Hyperlink"/>
            <w:rFonts w:ascii="Arial" w:hAnsi="Arial" w:cs="Arial"/>
            <w:i/>
            <w:iCs/>
            <w:color w:val="0E70C3"/>
            <w:sz w:val="18"/>
            <w:szCs w:val="18"/>
            <w:u w:val="none"/>
          </w:rPr>
          <w:t>24/2010/NĐ-CP</w:t>
        </w:r>
      </w:hyperlink>
      <w:r>
        <w:rPr>
          <w:rFonts w:ascii="Arial" w:hAnsi="Arial" w:cs="Arial"/>
          <w:i/>
          <w:iCs/>
          <w:color w:val="000000"/>
          <w:sz w:val="18"/>
          <w:szCs w:val="18"/>
        </w:rPr>
        <w:t> ngày 15 tháng 3 năm 2010 của Chính phủ quy định về tuyển dụng, sử dụng và quản lý công chức và Nghị định số </w:t>
      </w:r>
      <w:hyperlink r:id="rId7" w:tgtFrame="_blank" w:tooltip="Nghị định 93/2010/NĐ-CP" w:history="1">
        <w:r>
          <w:rPr>
            <w:rStyle w:val="Hyperlink"/>
            <w:rFonts w:ascii="Arial" w:hAnsi="Arial" w:cs="Arial"/>
            <w:i/>
            <w:iCs/>
            <w:color w:val="0E70C3"/>
            <w:sz w:val="18"/>
            <w:szCs w:val="18"/>
            <w:u w:val="none"/>
          </w:rPr>
          <w:t>93/2010/NĐ-CP</w:t>
        </w:r>
      </w:hyperlink>
      <w:r>
        <w:rPr>
          <w:rFonts w:ascii="Arial" w:hAnsi="Arial" w:cs="Arial"/>
          <w:i/>
          <w:iCs/>
          <w:color w:val="000000"/>
          <w:sz w:val="18"/>
          <w:szCs w:val="18"/>
        </w:rPr>
        <w:t> ngày 31 tháng 8 năm 2010 của Chính phủ sửa đổi một số điều của Nghị định số </w:t>
      </w:r>
      <w:hyperlink r:id="rId8" w:tgtFrame="_blank" w:tooltip="Nghị định 24/2010/NĐ-CP" w:history="1">
        <w:r>
          <w:rPr>
            <w:rStyle w:val="Hyperlink"/>
            <w:rFonts w:ascii="Arial" w:hAnsi="Arial" w:cs="Arial"/>
            <w:i/>
            <w:iCs/>
            <w:color w:val="0E70C3"/>
            <w:sz w:val="18"/>
            <w:szCs w:val="18"/>
            <w:u w:val="none"/>
          </w:rPr>
          <w:t>24/2010/NĐ-CP</w:t>
        </w:r>
      </w:hyperlink>
      <w:r>
        <w:rPr>
          <w:rFonts w:ascii="Arial" w:hAnsi="Arial" w:cs="Arial"/>
          <w:i/>
          <w:iCs/>
          <w:color w:val="000000"/>
          <w:sz w:val="18"/>
          <w:szCs w:val="18"/>
        </w:rPr>
        <w:t> ;</w:t>
      </w:r>
      <w:r>
        <w:rPr>
          <w:rFonts w:ascii="Arial" w:hAnsi="Arial" w:cs="Arial"/>
          <w:i/>
          <w:iCs/>
          <w:color w:val="000000"/>
          <w:sz w:val="18"/>
          <w:szCs w:val="18"/>
        </w:rPr>
        <w:br/>
        <w:t>Căn cứ Nghị định số </w:t>
      </w:r>
      <w:hyperlink r:id="rId9" w:tgtFrame="_blank" w:tooltip="Nghị định 48/2008/NĐ-CP" w:history="1">
        <w:r>
          <w:rPr>
            <w:rStyle w:val="Hyperlink"/>
            <w:rFonts w:ascii="Arial" w:hAnsi="Arial" w:cs="Arial"/>
            <w:i/>
            <w:iCs/>
            <w:color w:val="0E70C3"/>
            <w:sz w:val="18"/>
            <w:szCs w:val="18"/>
            <w:u w:val="none"/>
          </w:rPr>
          <w:t>48/2008/NĐ-CP</w:t>
        </w:r>
      </w:hyperlink>
      <w:r>
        <w:rPr>
          <w:rFonts w:ascii="Arial" w:hAnsi="Arial" w:cs="Arial"/>
          <w:i/>
          <w:iCs/>
          <w:color w:val="000000"/>
          <w:sz w:val="18"/>
          <w:szCs w:val="18"/>
        </w:rPr>
        <w:t> ngày 17 tháng 4 năm 2008 của Chính phủ quy định chức năng, nhiệm vụ, quyền hạn và cơ cấu tổ chức của Bộ Nội vụ;</w:t>
      </w:r>
      <w:r>
        <w:rPr>
          <w:rFonts w:ascii="Arial" w:hAnsi="Arial" w:cs="Arial"/>
          <w:i/>
          <w:iCs/>
          <w:color w:val="000000"/>
          <w:sz w:val="18"/>
          <w:szCs w:val="18"/>
        </w:rPr>
        <w:br/>
        <w:t>Bộ Nội vụ quy định chi tiết một số điều về tuyển dụng và nâng ngạch công chức của Nghị định số </w:t>
      </w:r>
      <w:hyperlink r:id="rId10" w:tgtFrame="_blank" w:tooltip="Nghị định 24/2010/NĐ-CP" w:history="1">
        <w:r>
          <w:rPr>
            <w:rStyle w:val="Hyperlink"/>
            <w:rFonts w:ascii="Arial" w:hAnsi="Arial" w:cs="Arial"/>
            <w:i/>
            <w:iCs/>
            <w:color w:val="0E70C3"/>
            <w:sz w:val="18"/>
            <w:szCs w:val="18"/>
            <w:u w:val="none"/>
          </w:rPr>
          <w:t>24/2010/NĐ-CP</w:t>
        </w:r>
      </w:hyperlink>
      <w:r>
        <w:rPr>
          <w:rFonts w:ascii="Arial" w:hAnsi="Arial" w:cs="Arial"/>
          <w:i/>
          <w:iCs/>
          <w:color w:val="000000"/>
          <w:sz w:val="18"/>
          <w:szCs w:val="18"/>
        </w:rPr>
        <w:t> ngày 15 tháng 3 năm 2010 của Chính phủ quy định về tuyển dụng, sử dụng và quản lý công chức (sau đây viết tắt là Nghị định số 24/2010/NĐ-CP) như sau:</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 w:name="chuong_1"/>
      <w:r>
        <w:rPr>
          <w:rFonts w:ascii="Arial" w:hAnsi="Arial" w:cs="Arial"/>
          <w:b/>
          <w:bCs/>
          <w:color w:val="000000"/>
          <w:sz w:val="18"/>
          <w:szCs w:val="18"/>
        </w:rPr>
        <w:t>Chương 1</w:t>
      </w:r>
      <w:bookmarkEnd w:id="3"/>
      <w:r>
        <w:rPr>
          <w:rFonts w:ascii="Arial" w:hAnsi="Arial" w:cs="Arial"/>
          <w:b/>
          <w:bCs/>
          <w:color w:val="000000"/>
          <w:sz w:val="18"/>
          <w:szCs w:val="18"/>
        </w:rPr>
        <w:t>.</w:t>
      </w:r>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chuong_1_name"/>
      <w:r>
        <w:rPr>
          <w:rFonts w:ascii="Arial" w:hAnsi="Arial" w:cs="Arial"/>
          <w:b/>
          <w:bCs/>
          <w:color w:val="000000"/>
        </w:rPr>
        <w:t>VỀ TUYỂN DỤNG CÔNG CHỨC</w:t>
      </w:r>
      <w:bookmarkEnd w:id="4"/>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 w:name="dieu_1"/>
      <w:r>
        <w:rPr>
          <w:rFonts w:ascii="Arial" w:hAnsi="Arial" w:cs="Arial"/>
          <w:b/>
          <w:bCs/>
          <w:color w:val="000000"/>
          <w:sz w:val="18"/>
          <w:szCs w:val="18"/>
          <w:shd w:val="clear" w:color="auto" w:fill="FFFF96"/>
        </w:rPr>
        <w:t>Điều 1. Điều kiện đăng ký dự tuyển công chức</w:t>
      </w:r>
      <w:bookmarkEnd w:id="5"/>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 Điều kiện đăng ký dự tuyển công chức thực hiện theo quy định tại </w:t>
      </w:r>
      <w:bookmarkStart w:id="6" w:name="dc_100"/>
      <w:r>
        <w:rPr>
          <w:rFonts w:ascii="Arial" w:hAnsi="Arial" w:cs="Arial"/>
          <w:color w:val="000000"/>
          <w:sz w:val="18"/>
          <w:szCs w:val="18"/>
        </w:rPr>
        <w:t>Điều 4 Nghị định số 24/2010/NĐ-CP</w:t>
      </w:r>
      <w:bookmarkEnd w:id="6"/>
      <w:r>
        <w:rPr>
          <w:rFonts w:ascii="Arial" w:hAnsi="Arial" w:cs="Arial"/>
          <w:color w:val="000000"/>
          <w:sz w:val="18"/>
          <w:szCs w:val="18"/>
        </w:rPr>
        <w:t>. Riêng các điều kiện khác theo yêu cầu của vị trí dự tuyển do cơ quan sử dụng công chức xây dựng trên cơ sở bản mô tả công việc gắn với chuyên ngành đào tạo, các kỹ năng, kinh nghiệm theo yêu cầu tiêu chuẩn nghiệp vụ ngạch công chức của vị trí dự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Người đứng đầu cơ quan sử dụng công chức có văn bản báo cáo về các điều kiện đăng ký dự tuyển công chức quy định tại khoản 1 điều này để cơ quan quản lý công chức xem xét, quyết định.</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7" w:name="dieu_2"/>
      <w:r>
        <w:rPr>
          <w:rFonts w:ascii="Arial" w:hAnsi="Arial" w:cs="Arial"/>
          <w:b/>
          <w:bCs/>
          <w:color w:val="000000"/>
          <w:sz w:val="18"/>
          <w:szCs w:val="18"/>
        </w:rPr>
        <w:t>Điều 2. Hồ sơ đăng ký dự tuyển công chức</w:t>
      </w:r>
      <w:bookmarkEnd w:id="7"/>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Hồ sơ đăng ký dự tuyển công chức bao gồm: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Đơn đăng ký dự tuyển công chức theo mẫu tại phụ lục số 1 ban hành kèm theo Thông tư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Bản sơ yếu lý lịch tự thuật có xác nhận của cơ quan có thẩm quyền trong thời hạn 30 ngày, tính đến ngày nộp hồ sơ dự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Bản sao giấy khai sinh;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Bản chụp các văn bằng, chứng chỉ và kết quả học tập theo yêu cầu của vị trí dự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5. Giấy chứng nhận sức khỏe do cơ quan y tế có thẩm quyền cấp trong thời hạn 30 ngày, tính đến ngày nộp hồ sơ dự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6. Giấy chứng nhận thuộc đối tượng ưu tiên trong tuyển dụng công chức (nếu có) được cơ quan có thẩm quyền chứng thực.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8" w:name="dieu_3"/>
      <w:r>
        <w:rPr>
          <w:rFonts w:ascii="Arial" w:hAnsi="Arial" w:cs="Arial"/>
          <w:b/>
          <w:bCs/>
          <w:color w:val="000000"/>
          <w:sz w:val="18"/>
          <w:szCs w:val="18"/>
        </w:rPr>
        <w:t>Điều 3. Cơ quan có thẩm quyền tuyển dụng công chức</w:t>
      </w:r>
      <w:bookmarkEnd w:id="8"/>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Cơ quan quản lý công chức thực hiện việc tuyển chọn công chức bao gồm: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Tòa án nhân dân tối cao, Viện Kiểm sát nhân dân tối cao, Kiểm toán Nhà nước;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Văn phòng Quốc hội, Văn phòng Chủ tịch nước;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Bộ, cơ quan ngang Bộ, cơ quan thuộc Chính phủ;</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Tổ chức do Chính phủ, Thủ tướng Chính phủ thành lập mà không phải là đơn vị sự nghiệp công lập;</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đ) Ủy ban nhân dân tỉnh, thành phố trực thuộc Trung 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e) Cơ quan có thẩm quyền của Đảng Cộng sản Việt Nam, tổ chức chính trị - xã hội;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g) Tỉnh ủy, thành ủy trực thuộc Trung 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Cơ quan, tổ chức, đơn vị được phân cấp thẩm quyền tuyển dụng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Cơ quan, tổ chức, đơn vị trực thuộc cơ quan quản lý công chức quy định tại các điểm a, c, đ, e, g khoản 1 điều này nếu được giao biên chế công chức, kinh phí hoạt động, có con dấu và tài khoản riêng thì được phân cấp thẩm quyền tuyển dụng công chức. Cơ quan, tổ chức, đơn vị được phân cấp thẩm quyền tuyển dụng công chức quy định tại khoản này phải xây dựng kế hoạch tuyển dụng công chức báo cáo cơ quan quản lý công chức phê duyệt. Kế hoạch tuyển dụng công chức bao gồm các nội dung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Số lượng biên chế công chức của cơ quan, tổ chức, đơn vị được cấp có thẩm quyền giao;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Số lượng vị trí việc làm cần tuyển theo từng ngạch công chức trong phạm vi chỉ tiêu biên chế được giao;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điều kiện đăng ký dự tuyển, hình thức và nội dung thi tuyển hoặc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Các nội dung khác (nếu có) theo yêu cầu bằng văn bản của cơ quan quản lý công chức.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3. Các cơ quan, tổ chức, đơn vị trực thuộc cơ quan quản lý công chức nếu chưa được phân cấp thẩm quyền tuyển dụng theo quy định tại khoản 2 điều này thì cơ quan quản lý công chức quy định tại </w:t>
      </w:r>
      <w:bookmarkStart w:id="9" w:name="dc_1"/>
      <w:r>
        <w:rPr>
          <w:rFonts w:ascii="Arial" w:hAnsi="Arial" w:cs="Arial"/>
          <w:color w:val="000000"/>
          <w:sz w:val="18"/>
          <w:szCs w:val="18"/>
        </w:rPr>
        <w:t>khoản 2 Điều 2 Nghị định số </w:t>
      </w:r>
      <w:bookmarkEnd w:id="9"/>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"https://thuvienphapluat.vn/van-ban/bo-may-hanh-chinh/nghi-dinh-24-2010-nd-cp-tuyen-dung-su-dung-quan-ly-cong-chuc-102412.aspx" \o "Nghị định 24/2010/NĐ-CP"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24/2010/NĐ-CP</w:t>
      </w:r>
      <w:r>
        <w:rPr>
          <w:rFonts w:ascii="Arial" w:hAnsi="Arial" w:cs="Arial"/>
          <w:color w:val="000000"/>
          <w:sz w:val="18"/>
          <w:szCs w:val="18"/>
        </w:rPr>
        <w:fldChar w:fldCharType="end"/>
      </w:r>
      <w:r>
        <w:rPr>
          <w:rFonts w:ascii="Arial" w:hAnsi="Arial" w:cs="Arial"/>
          <w:color w:val="000000"/>
          <w:sz w:val="18"/>
          <w:szCs w:val="18"/>
        </w:rPr>
        <w:t> trực tiếp thực hiện việc tuyển dụng công chức vào làm việc tại các cơ quan, tổ chức, đơn vị trực thuộc.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0" w:name="dieu_4"/>
      <w:r>
        <w:rPr>
          <w:rFonts w:ascii="Arial" w:hAnsi="Arial" w:cs="Arial"/>
          <w:b/>
          <w:bCs/>
          <w:color w:val="000000"/>
          <w:sz w:val="18"/>
          <w:szCs w:val="18"/>
        </w:rPr>
        <w:t>Điều 4. Tổ chức thi tuyển, xét tuyển và tiếp nhận không qua thi tuyển đối với công chức</w:t>
      </w:r>
      <w:bookmarkEnd w:id="10"/>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Việc tuyển dụng công chức vào vị trí việc làm tương ứng với từng loại công chức được thực hiện như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Công chức loại D (ngạch nhân viên, cán sự hoặc tương đương) thực hiện theo phương thức thi tuyển hoặc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Công chức loại C (ngạch chuyên viên hoặc tương đương) thực hiện theo phương thức thi tuyển, xét tuyển hoặc theo quy trình tiếp nhận không qua thi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Công chức loại B (ngạch chuyên viên chính hoặc tương đương) và công chức loại A (ngạch chuyên viên cao cấp hoặc tương đương) thực hiện theo quy trình tiếp nhận không qua thi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Trường hợp đối tượng dự tuyển vào vị trí việc làm quy định tại điểm c này không đủ điều kiện thực hiện theo quy trình tiếp nhận không qua thi tuyển thì cơ quan quản lý công chức căn cứ vào yêu cầu của từng vị trí việc làm tương ứng với công chức loại B, loại A xây dựng đề án thi tuyển đối với các vị trí việc làm này, gửi Bộ Nội vụ hoặc Ban Tổ chức Trung ương để thống nhất theo thẩm quyền trước khi tổ chức thực hiện.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Tổ chức thi tuyển, xét tuyển và tiếp nhận không qua thi tuyển đối với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Cơ quan có thẩm quyền tuyển dụng công chức quy định tại Điều 3 Thông tư này tổ chức thực hiện việc tuyển dụng công chức theo phương thức thi tuyển hoặc xét tuyển và báo cáo cơ quan quản lý công chức phê duyệt kết quả tuyển dụng công chức;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1" w:name="cumtu_1"/>
      <w:r>
        <w:rPr>
          <w:rFonts w:ascii="Arial" w:hAnsi="Arial" w:cs="Arial"/>
          <w:color w:val="000000"/>
          <w:sz w:val="18"/>
          <w:szCs w:val="18"/>
          <w:shd w:val="clear" w:color="auto" w:fill="FFFF96"/>
        </w:rPr>
        <w:t>b) Cơ quan quản lý công chức quy định tại </w:t>
      </w:r>
      <w:bookmarkStart w:id="12" w:name="dc_2"/>
      <w:bookmarkEnd w:id="11"/>
      <w:r>
        <w:rPr>
          <w:rFonts w:ascii="Arial" w:hAnsi="Arial" w:cs="Arial"/>
          <w:color w:val="000000"/>
          <w:sz w:val="18"/>
          <w:szCs w:val="18"/>
        </w:rPr>
        <w:t>khoản 2 Điều 2 Nghị định số 24/2010/NĐ-CP:</w:t>
      </w:r>
      <w:bookmarkEnd w:id="12"/>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Căn cứ vào báo cáo kết quả thi tuyển hoặc xét tuyển của người đứng đầu cơ quan có thẩm quyền tuyển dụng công chức, phê duyệt kết quả tuyển dụng công chức thuộc phạm vi quản lý;</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Sau khi có ý kiến thống nhất của Bộ Nội vụ hoặc Ban Tổ chức Trung ương, thực hiện việc tiếp nhận không qua thi tuyển đối với công chức theo quy định của Thông tư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Việc tổ chức thi tuyển, xét tuyển công chức được thực hiện theo Quy chế tổ chức thi tuyển, xét tuyển công chức (phụ lục số 2) và Nội quy kỳ thi tuyển, thi nâng ngạch công chức (phụ lục số 3) ban hành kèm theo Thông tư này.</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4. Trường hợp các Bộ, cơ quan ngang Bộ, cơ quan thuộc Chính phủ cần thiết phải có quy định cụ thể hơn về nội dung, hình thức thi tuyển, xét tuyển công chức theo yêu cầu của ngành, lĩnh vực quản lý so với quy định tại Nghị định </w:t>
      </w:r>
      <w:hyperlink r:id="rId11" w:tgtFrame="_blank" w:tooltip="Nghị định 24/2010/NĐ-CP" w:history="1">
        <w:r>
          <w:rPr>
            <w:rStyle w:val="Hyperlink"/>
            <w:rFonts w:ascii="Arial" w:hAnsi="Arial" w:cs="Arial"/>
            <w:color w:val="0E70C3"/>
            <w:sz w:val="18"/>
            <w:szCs w:val="18"/>
            <w:u w:val="none"/>
          </w:rPr>
          <w:t>24/2010/NĐ-CP</w:t>
        </w:r>
      </w:hyperlink>
      <w:r>
        <w:rPr>
          <w:rFonts w:ascii="Arial" w:hAnsi="Arial" w:cs="Arial"/>
          <w:color w:val="000000"/>
          <w:sz w:val="18"/>
          <w:szCs w:val="18"/>
        </w:rPr>
        <w:t> và quy định tại Thông tư này thì phải thống nhất ý kiến với Bộ Nội vụ trước khi thực hiện.</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3" w:name="dieu_5"/>
      <w:r>
        <w:rPr>
          <w:rFonts w:ascii="Arial" w:hAnsi="Arial" w:cs="Arial"/>
          <w:b/>
          <w:bCs/>
          <w:color w:val="000000"/>
          <w:sz w:val="18"/>
          <w:szCs w:val="18"/>
        </w:rPr>
        <w:t>Điều 5. Trường hợp không thành lập Hội đồng tuyển dụng công chức</w:t>
      </w:r>
      <w:bookmarkEnd w:id="13"/>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Khi tổ chức tuyển dụng công chức, nếu số người đăng ký dự tuyển trong cùng một kỳ tuyển dụng từ 30 người trở xuống thì người đứng đầu cơ quan có thẩm quyền tuyển dụng công chức không phải thành lập Hội đồng tuyển dụng.</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4" w:name="dieu_6"/>
      <w:r>
        <w:rPr>
          <w:rFonts w:ascii="Arial" w:hAnsi="Arial" w:cs="Arial"/>
          <w:b/>
          <w:bCs/>
          <w:color w:val="000000"/>
          <w:sz w:val="18"/>
          <w:szCs w:val="18"/>
        </w:rPr>
        <w:t>Điều 6. Thông báo tuyển dụng</w:t>
      </w:r>
      <w:bookmarkEnd w:id="14"/>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 Thông báo tuyển dụng của cơ quan có thẩm quyền tuyển dụng công chức phải được đăng tải ít nhất trên một trong các phương tiện thông tin đại chúng là báo viết, báo nói, báo hình; đồng thời phải đăng trên trang thông tin điện tử và niêm yết công khai tại trụ sở làm việc của cơ quan có thẩm quyền tuyển dụng công chức trong thời hạn nhận hồ sơ của người đăng ký dự tuyển quy định tại </w:t>
      </w:r>
      <w:bookmarkStart w:id="15" w:name="dc_3"/>
      <w:r>
        <w:rPr>
          <w:rFonts w:ascii="Arial" w:hAnsi="Arial" w:cs="Arial"/>
          <w:color w:val="000000"/>
          <w:sz w:val="18"/>
          <w:szCs w:val="18"/>
        </w:rPr>
        <w:t>khoản 2 Điều 15 Nghị định số </w:t>
      </w:r>
      <w:bookmarkEnd w:id="15"/>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"https://thuvienphapluat.vn/van-ban/bo-may-hanh-chinh/nghi-dinh-24-2010-nd-cp-tuyen-dung-su-dung-quan-ly-cong-chuc-102412.aspx" \o "Nghị định 24/2010/NĐ-CP"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24/2010/NĐ-CP</w:t>
      </w:r>
      <w:r>
        <w:rPr>
          <w:rFonts w:ascii="Arial" w:hAnsi="Arial" w:cs="Arial"/>
          <w:color w:val="000000"/>
          <w:sz w:val="18"/>
          <w:szCs w:val="18"/>
        </w:rPr>
        <w:fldChar w:fldCharType="end"/>
      </w:r>
      <w:r>
        <w:rPr>
          <w:rFonts w:ascii="Arial" w:hAnsi="Arial" w:cs="Arial"/>
          <w:color w:val="000000"/>
          <w:sz w:val="18"/>
          <w:szCs w:val="18"/>
        </w:rPr>
        <w:t> .</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Nội dung thông báo tuyển dụng bao gồm: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điều kiện đăng ký dự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Số lượng vị trí việc làm cần tuyển theo từng ngạch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Nội dung hồ sơ đăng ký dự tuyển, thời hạn nhận hồ sơ và địa điểm nộp hồ sơ dự tuyển, số điện thoại liên hệ;</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Hình thức và nội dung thi tuyển hoặc xét tuyển; thời gian và địa điểm thi tuyển hoặc xét tuyển; lệ phí thi tuyển hoặc xét tuyển.</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3. Trong thời hạn 15 ngày, kể từ ngày hết thời hạn nhận hồ sơ của người đăng ký dự tuyển theo quy định tại </w:t>
      </w:r>
      <w:bookmarkStart w:id="16" w:name="dc_4"/>
      <w:r>
        <w:rPr>
          <w:rFonts w:ascii="Arial" w:hAnsi="Arial" w:cs="Arial"/>
          <w:color w:val="000000"/>
          <w:sz w:val="18"/>
          <w:szCs w:val="18"/>
        </w:rPr>
        <w:t>khoản 2 Điều 15 Nghị định số 24/2010/NĐ-CP</w:t>
      </w:r>
      <w:bookmarkEnd w:id="16"/>
      <w:r>
        <w:rPr>
          <w:rFonts w:ascii="Arial" w:hAnsi="Arial" w:cs="Arial"/>
          <w:color w:val="000000"/>
          <w:sz w:val="18"/>
          <w:szCs w:val="18"/>
        </w:rPr>
        <w:t>, người đứng đầu cơ quan có thẩm quyền tuyển dụng công chức quyết định thành lập Hội đồng tuyển dụng; trường hợp không thành lập Hội đồng tuyển dụng theo quy định tại Điều 5 Thông tư này thì người đứng đầu cơ quan có thẩm quyền tuyển dụng công chức giao bộ phận tham mưu về công tác tổ chức cán bộ của cơ quan có thẩm quyền tuyển dụng công chức để thực hiện việc tuyển dụng.</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7" w:name="dieu_7"/>
      <w:r>
        <w:rPr>
          <w:rFonts w:ascii="Arial" w:hAnsi="Arial" w:cs="Arial"/>
          <w:b/>
          <w:bCs/>
          <w:color w:val="000000"/>
          <w:sz w:val="18"/>
          <w:szCs w:val="18"/>
        </w:rPr>
        <w:t>Điều 7. Thời gian các môn thi trong kỳ thi tuyển công chức</w:t>
      </w:r>
      <w:bookmarkEnd w:id="17"/>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trường hợp thi tuyển công chức loại D:</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Môn kiến thức chung: thi viết thời gian 120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Môn nghiệp vụ chuyên ngành: thi viết thời gian 120 phút và thi trắc nghiệm thời gian 30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Môn ngoại ngữ: thi viết thời gian 60 phút hoặc thi vấn đáp thời gian từ 15 đến 30 phút (nếu tiêu chuẩn nghiệp vụ của ngạch dự thi yêu cầu phải có trình độ ngoại ngữ);</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Môn tin học văn phòng: thi thực hành trên máy hoặc thi trắc nghiệm, thời gian 30 phút (nếu tiêu chuẩn nghiệp vụ của ngạch dự thi yêu cầu phải có trình độ tin học).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trường hợp thi tuyển công chức loại 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Môn kiến thức chung: thi viết thời gian 180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Môn nghiệp vụ chuyên ngành: thi viết thời gian 180 phút và thi trắc nghiệm thời gian 45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Môn ngoại ngữ: thi viết thời gian 90 phút hoặc thi vấn đáp thời gian từ 15 đến 30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Môn tin học văn phòng: thi thực hành trên máy hoặc thi trắc nghiệm, thời gian 45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Đối với trường hợp thi tuyển công chức vào vị trí việc làm yêu cầu chuyên môn là ngoại ngữ hoặc tin học thì môn thi nghiệp vụ chuyên ngành là ngoại ngữ hoặc tin học. Thời gian thi ngoại ngữ hoặc tin học do người đứng đầu cơ quan có thẩm quyền tuyển dụng công chức quyết định bảo đảm phù hợp với yêu cầu của vị trí việc làm cần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Đối với trường hợp thi tuyển công chức vào vị trí việc làm yêu cầu sử dụng tiếng dân tộc thiểu số thì môn thi ngoại ngữ được thay thế bằng thi tiếng dân tộc thiểu số. Thời gian thi tiếng dân tộc thiểu số do người đứng đầu cơ quan có thẩm quyền tuyển dụng công chức quyết định bảo đảm phù hợp với yêu cầu của vị trí việc làm cần tuyển.</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8" w:name="dieu_8"/>
      <w:r>
        <w:rPr>
          <w:rFonts w:ascii="Arial" w:hAnsi="Arial" w:cs="Arial"/>
          <w:b/>
          <w:bCs/>
          <w:color w:val="000000"/>
          <w:sz w:val="18"/>
          <w:szCs w:val="18"/>
        </w:rPr>
        <w:t>Điều 8. Nội dung thi môn nghiệp vụ chuyên ngành</w:t>
      </w:r>
      <w:bookmarkEnd w:id="18"/>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ml:space="preserve">1. Nội dung thi môn nghiệp vụ chuyên ngành trong kỳ thi tuyển công chức phải căn cứ vào tiêu chuẩn nghiệp vụ của ngạch công chức phù hợp với vị trí việc làm cần tuyển. Trong cùng một kỳ thi tuyển, nếu có các vị trí việc làm yêu cầu chuyên môn, nghiệp vụ khác nhau thì cơ quan có thẩm quyền tuyển dụng </w:t>
      </w:r>
      <w:r>
        <w:rPr>
          <w:rFonts w:ascii="Arial" w:hAnsi="Arial" w:cs="Arial"/>
          <w:color w:val="000000"/>
          <w:sz w:val="18"/>
          <w:szCs w:val="18"/>
        </w:rPr>
        <w:lastRenderedPageBreak/>
        <w:t>công chức tổ chức xây dựng các đề thi môn nghiệp vụ chuyên ngành khác nhau bảo đảm phù hợp với yêu cầu của vị trí việc làm cần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Trường hợp cơ quan có thẩm quyền tuyển dụng công chức chưa xây dựng được ngân hàng đề thi môn nghiệp vụ chuyên ngành thì người đứng đầu cơ quan có thẩm quyền tuyển dụng công chức giao người đứng đầu cơ quan sử dụng công chức xây dựng các đề thi môn nghiệp vụ chuyên ngành bảo đảm phù hợp với yêu cầu của vị trí việc làm cần tuyển, gửi cơ quan có thẩm quyền tuyển dụng công chức để xem xét, quyết định đề thi chính thức.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9" w:name="dieu_9"/>
      <w:r>
        <w:rPr>
          <w:rFonts w:ascii="Arial" w:hAnsi="Arial" w:cs="Arial"/>
          <w:b/>
          <w:bCs/>
          <w:color w:val="000000"/>
          <w:sz w:val="18"/>
          <w:szCs w:val="18"/>
          <w:shd w:val="clear" w:color="auto" w:fill="FFFF96"/>
        </w:rPr>
        <w:t>Điều 9. Quyết định tuyển dụng và nhận việc</w:t>
      </w:r>
      <w:bookmarkEnd w:id="19"/>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Trong thời hạn 15 ngày, kể từ ngày có quyết định phê duyệt kết quả tuyển dụng của cơ quan quản lý công chức, người đứng đầu cơ quan có thẩm quyền tuyển dụng công chức phải gửi thông báo công nhận kết quả trúng tuyển bằng văn bản tới người dự tuyển theo địa chỉ mà người dự tuyển đã đăng ký.</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Trong thời hạn 30 ngày, kể từ ngày nhận được thông báo công nhận kết quả trúng tuyển của cơ quan có thẩm quyền tuyển dụng công chức, người trúng tuyển phải đến cơ quan có thẩm quyền tuyển dụng công chức để hoàn thiện hồ sơ dự tuyển. Hồ sơ dự tuyển phải được bổ sung để hoàn thiện trước khi ký quyết định tuyển dụng bao gồm: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Bản sao các văn bằng, chứng chỉ và kết quả học tập theo yêu cầu của vị trí dự tuyển, được cơ quan có thẩm quyền chứng thực;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Phiếu lý lịch tư pháp do Sở Tư pháp nơi thường trú cấp.</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Thời điểm cơ quan có thẩm quyền chứng thực văn bằng, chứng chỉ, kết quả học tập và cấp phiếu lý lịch tư pháp được thực hiện trong thời hạn quy định tại khoản 2 và khoản 3 điều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Trường hợp người trúng tuyển có lý do chính đáng mà không thể đến hoàn thiện hồ sơ dự tuyển thì phải làm đơn xin gia hạn trước khi kết thúc thời hạn hoàn thiện hồ sơ dự tuyển gửi cơ quan có thẩm quyền tuyển dụng công chức. Thời gian xin gia hạn không quá 15 ngày, kể từ ngày kết thời hạn hoàn thiện hồ sơ dự tuyển quy định tại khoản 2 điều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Sau khi người trúng tuyển hoàn thiện đủ hồ sơ dự tuyển theo quy định tại khoản 2 và khoản 3 điều này, trong thời hạn 15 ngày, người đứng đầu cơ quan có thẩm quyền tuyển dụng công chức phải ra quyết định tuyển dụng đối với người trúng tuyển; trường hợp người trúng tuyển không hoàn thiện đủ hồ sơ dự tuyển theo quy định thì người đứng đầu cơ quan có thẩm quyền tuyển dụng công chức ra quyết định hủy kết quả trúng tuyển.</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5. Người được tuyển dụng vào công chức phải đến nhận việc trong thời hạn quy định tại </w:t>
      </w:r>
      <w:bookmarkStart w:id="20" w:name="dc_5"/>
      <w:r>
        <w:rPr>
          <w:rFonts w:ascii="Arial" w:hAnsi="Arial" w:cs="Arial"/>
          <w:color w:val="000000"/>
          <w:sz w:val="18"/>
          <w:szCs w:val="18"/>
        </w:rPr>
        <w:t>khoản 2 Điều 18 Nghị định số </w:t>
      </w:r>
      <w:bookmarkEnd w:id="20"/>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"https://thuvienphapluat.vn/van-ban/bo-may-hanh-chinh/nghi-dinh-24-2010-nd-cp-tuyen-dung-su-dung-quan-ly-cong-chuc-102412.aspx" \o "Nghị định 24/2010/NĐ-CP"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24/2010/NĐ-CP</w:t>
      </w:r>
      <w:r>
        <w:rPr>
          <w:rFonts w:ascii="Arial" w:hAnsi="Arial" w:cs="Arial"/>
          <w:color w:val="000000"/>
          <w:sz w:val="18"/>
          <w:szCs w:val="18"/>
        </w:rPr>
        <w:fldChar w:fldCharType="end"/>
      </w:r>
      <w:r>
        <w:rPr>
          <w:rFonts w:ascii="Arial" w:hAnsi="Arial" w:cs="Arial"/>
          <w:color w:val="000000"/>
          <w:sz w:val="18"/>
          <w:szCs w:val="18"/>
        </w:rPr>
        <w:t> .</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6. Trường hợp người trúng tuyển bị hủy bỏ kết quả trúng tuyển theo quy định tại khoản 4 điều này và trường hợp người được tuyển dụng bị hủy bỏ quyết định tuyển dụng do không đến nhận việc trong thời hạn quy định tại khoản 5 điều này thì người đứng đầu cơ quan có thẩm quyền tuyển dụng công chức quyết định tuyển dụng người có kết quả tuyển dụng thấp hơn liền kề ở vị trí tuyển dụng đó, nếu người đó bảo đảm có đủ các điều kiện quy định tại điểm a, điểm b khoản 1 Điều 11 Nghị định số </w:t>
      </w:r>
      <w:hyperlink r:id="rId12" w:tgtFrame="_blank" w:tooltip="Nghị định 24/2010/NĐ-CP" w:history="1">
        <w:r>
          <w:rPr>
            <w:rStyle w:val="Hyperlink"/>
            <w:rFonts w:ascii="Arial" w:hAnsi="Arial" w:cs="Arial"/>
            <w:color w:val="0E70C3"/>
            <w:sz w:val="18"/>
            <w:szCs w:val="18"/>
            <w:u w:val="none"/>
          </w:rPr>
          <w:t>24/2010/NĐ-CP</w:t>
        </w:r>
      </w:hyperlink>
      <w:r>
        <w:rPr>
          <w:rFonts w:ascii="Arial" w:hAnsi="Arial" w:cs="Arial"/>
          <w:color w:val="000000"/>
          <w:sz w:val="18"/>
          <w:szCs w:val="18"/>
        </w:rPr>
        <w:t> (trong trường hợp tổ chức thi tuyển công chức) hoặc quy định tại </w:t>
      </w:r>
      <w:bookmarkStart w:id="21" w:name="dc_6"/>
      <w:r>
        <w:rPr>
          <w:rFonts w:ascii="Arial" w:hAnsi="Arial" w:cs="Arial"/>
          <w:color w:val="000000"/>
          <w:sz w:val="18"/>
          <w:szCs w:val="18"/>
        </w:rPr>
        <w:t>điểm a khoản 1 Điều 14 Nghị định số </w:t>
      </w:r>
      <w:bookmarkEnd w:id="21"/>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"https://thuvienphapluat.vn/van-ban/bo-may-hanh-chinh/nghi-dinh-24-2010-nd-cp-tuyen-dung-su-dung-quan-ly-cong-chuc-102412.aspx" \o "Nghị định 24/2010/NĐ-CP"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24/2010/NĐ-CP</w:t>
      </w:r>
      <w:r>
        <w:rPr>
          <w:rFonts w:ascii="Arial" w:hAnsi="Arial" w:cs="Arial"/>
          <w:color w:val="000000"/>
          <w:sz w:val="18"/>
          <w:szCs w:val="18"/>
        </w:rPr>
        <w:fldChar w:fldCharType="end"/>
      </w:r>
      <w:r>
        <w:rPr>
          <w:rFonts w:ascii="Arial" w:hAnsi="Arial" w:cs="Arial"/>
          <w:color w:val="000000"/>
          <w:sz w:val="18"/>
          <w:szCs w:val="18"/>
        </w:rPr>
        <w:t> (trong trường hợp tổ chức xét tuyển công chức).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Trường hợp có từ 02 người trở lên có kết quả tuyển dụng thấp hơn liền kề bằng nhau thì người đứng đầu cơ quan có thẩm quyền tuyển dụng công chức quyết định người trúng tuyển theo quy định tại </w:t>
      </w:r>
      <w:bookmarkStart w:id="22" w:name="dc_7"/>
      <w:r>
        <w:rPr>
          <w:rFonts w:ascii="Arial" w:hAnsi="Arial" w:cs="Arial"/>
          <w:color w:val="000000"/>
          <w:sz w:val="18"/>
          <w:szCs w:val="18"/>
        </w:rPr>
        <w:t>khoản 2 Điều 11 Nghị định số </w:t>
      </w:r>
      <w:bookmarkEnd w:id="22"/>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"https://thuvienphapluat.vn/van-ban/bo-may-hanh-chinh/nghi-dinh-24-2010-nd-cp-tuyen-dung-su-dung-quan-ly-cong-chuc-102412.aspx" \o "Nghị định 24/2010/NĐ-CP"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24/2010/NĐ-CP</w:t>
      </w:r>
      <w:r>
        <w:rPr>
          <w:rFonts w:ascii="Arial" w:hAnsi="Arial" w:cs="Arial"/>
          <w:color w:val="000000"/>
          <w:sz w:val="18"/>
          <w:szCs w:val="18"/>
        </w:rPr>
        <w:fldChar w:fldCharType="end"/>
      </w:r>
      <w:r>
        <w:rPr>
          <w:rFonts w:ascii="Arial" w:hAnsi="Arial" w:cs="Arial"/>
          <w:color w:val="000000"/>
          <w:sz w:val="18"/>
          <w:szCs w:val="18"/>
        </w:rPr>
        <w:t> (trong trường hợp tổ chức thi tuyển công chức) hoặc quy định tại </w:t>
      </w:r>
      <w:bookmarkStart w:id="23" w:name="dc_8"/>
      <w:r>
        <w:rPr>
          <w:rFonts w:ascii="Arial" w:hAnsi="Arial" w:cs="Arial"/>
          <w:color w:val="000000"/>
          <w:sz w:val="18"/>
          <w:szCs w:val="18"/>
        </w:rPr>
        <w:t>khoản 2 Điều 14 Nghị định số </w:t>
      </w:r>
      <w:bookmarkEnd w:id="23"/>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"https://thuvienphapluat.vn/van-ban/bo-may-hanh-chinh/nghi-dinh-24-2010-nd-cp-tuyen-dung-su-dung-quan-ly-cong-chuc-102412.aspx" \o "Nghị định 24/2010/NĐ-CP"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24/2010/NĐ-CP</w:t>
      </w:r>
      <w:r>
        <w:rPr>
          <w:rFonts w:ascii="Arial" w:hAnsi="Arial" w:cs="Arial"/>
          <w:color w:val="000000"/>
          <w:sz w:val="18"/>
          <w:szCs w:val="18"/>
        </w:rPr>
        <w:fldChar w:fldCharType="end"/>
      </w:r>
      <w:r>
        <w:rPr>
          <w:rFonts w:ascii="Arial" w:hAnsi="Arial" w:cs="Arial"/>
          <w:color w:val="000000"/>
          <w:sz w:val="18"/>
          <w:szCs w:val="18"/>
        </w:rPr>
        <w:t> (trong trường hợp tổ chức xét tuyển công chức).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4" w:name="dieu_10"/>
      <w:r>
        <w:rPr>
          <w:rFonts w:ascii="Arial" w:hAnsi="Arial" w:cs="Arial"/>
          <w:b/>
          <w:bCs/>
          <w:color w:val="000000"/>
          <w:sz w:val="18"/>
          <w:szCs w:val="18"/>
        </w:rPr>
        <w:t>Điều 10. Tiếp nhận đối với các trường hợp đặc biệt trong tuyển dụng công chức</w:t>
      </w:r>
      <w:bookmarkEnd w:id="24"/>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Điều kiện, tiêu chuẩn để xem xét tiếp nhận không qua thi tuyển:</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Người tốt nghiệp thủ khoa tại các cơ sở đào tạo trình độ đại học ở trong nước và người tốt nghiệp đại học, sau đại học loại giỏi, loại xuất sắc ở nước ngoài theo quy định tại </w:t>
      </w:r>
      <w:bookmarkStart w:id="25" w:name="dc_9"/>
      <w:r>
        <w:rPr>
          <w:rFonts w:ascii="Arial" w:hAnsi="Arial" w:cs="Arial"/>
          <w:color w:val="000000"/>
          <w:sz w:val="18"/>
          <w:szCs w:val="18"/>
        </w:rPr>
        <w:t>điểm a, điểm b khoản 1 Điều 19 Nghị định số 24/2010/NĐ-CP</w:t>
      </w:r>
      <w:bookmarkEnd w:id="25"/>
      <w:r>
        <w:rPr>
          <w:rFonts w:ascii="Arial" w:hAnsi="Arial" w:cs="Arial"/>
          <w:color w:val="000000"/>
          <w:sz w:val="18"/>
          <w:szCs w:val="18"/>
        </w:rPr>
        <w:t> được xem xét tiếp nhận không qua thi tuyển, nếu có đủ các điều kiện, tiêu chuẩn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Bảo đảm các điều kiện đăng ký dự tuyển công chức quy định tại Điều 1 Thông tư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ml:space="preserve">- Được cơ quan có thẩm quyền xác nhận tốt nghiệp thủ khoa ở trình độ đại học tại các cơ sở đào tạo ở trong nước hoặc tốt nghiệp đại học, sau đại học loại giỏi, loại xuất sắc ở nước ngoài; trường hợp sau </w:t>
      </w:r>
      <w:r>
        <w:rPr>
          <w:rFonts w:ascii="Arial" w:hAnsi="Arial" w:cs="Arial"/>
          <w:color w:val="000000"/>
          <w:sz w:val="18"/>
          <w:szCs w:val="18"/>
        </w:rPr>
        <w:lastRenderedPageBreak/>
        <w:t>khi tốt nghiệp đã có thời gian công tác thì trong thời gian công tác này không vi phạm pháp luật đến mức bị xử lý kỷ luật hoặc bị truy cứu trách nhiệm hình sự và được đánh giá là hoàn thành tốt nhiệm vụ được giao.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Việc xác định tốt nghiệp đại học, sau đại học loại giỏi, loại xuất sắc ở nước ngoài được căn cứ vào xếp loại tại bằng tốt nghiệp; trường hợp bằng tốt nghiệp không xếp loại thì cơ quan quản lý công chức báo cáo cụ thể kết quả học tập toàn khóa và kết quả bảo vệ tốt nghiệp để Bộ Nội vụ hoặc Ban Tổ chức Trung ương xem xét, quyết định theo thẩm quyền quản lý công chức.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 Người có kinh nghiệm công tác theo quy định tại </w:t>
      </w:r>
      <w:bookmarkStart w:id="26" w:name="dc_10"/>
      <w:r>
        <w:rPr>
          <w:rFonts w:ascii="Arial" w:hAnsi="Arial" w:cs="Arial"/>
          <w:color w:val="000000"/>
          <w:sz w:val="18"/>
          <w:szCs w:val="18"/>
        </w:rPr>
        <w:t>điểm c khoản 1 Điều 19 Nghị định số 24/2010/NĐ-CP</w:t>
      </w:r>
      <w:bookmarkEnd w:id="26"/>
      <w:r>
        <w:rPr>
          <w:rFonts w:ascii="Arial" w:hAnsi="Arial" w:cs="Arial"/>
          <w:color w:val="000000"/>
          <w:sz w:val="18"/>
          <w:szCs w:val="18"/>
        </w:rPr>
        <w:t> được xem xét tiếp nhận không qua thi tuyển, nếu có đủ các điều kiện, tiêu chuẩn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Bảo đảm các điều kiện đăng ký dự tuyển công chức quy định tại Điều 1 Thông tư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Có bằng tốt nghiệp đại học trở lên; hiện đang công tác trong ngành, lĩnh vực cần tuyển; có thời hạn từ đủ 60 tháng trở lên làm công việc yêu cầu trình độ đào tạo đại học, sau đại học trong ngành, lĩnh vực cần tuyển (không kể thời gian tập sự, thử việc và nếu có thời gian công tác không liên tục thì được cộng dồn); trong thời gian công tác 05 năm gần nhất không vi phạm pháp luật đến mức bị xử lý kỷ luật hoặc bị truy cứu trách nhiệm hình sự; đáp ứng được ngay yêu cầu của vị trí việc làm cần tuyển hoặc thuộc một trong các trường hợp quy định tại điểm c khoản 2 điều này.</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7" w:name="cumtu_2"/>
      <w:r>
        <w:rPr>
          <w:rFonts w:ascii="Arial" w:hAnsi="Arial" w:cs="Arial"/>
          <w:color w:val="000000"/>
          <w:sz w:val="18"/>
          <w:szCs w:val="18"/>
          <w:shd w:val="clear" w:color="auto" w:fill="FFFF96"/>
        </w:rPr>
        <w:t>2. Quy trình xem xét tiếp nhận không qua thi tuyển:</w:t>
      </w:r>
      <w:bookmarkEnd w:id="27"/>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Người đứng đầu cơ quan quản lý công chức thành lập Hội đồng kiểm tra, sát hạch để đánh giá về các điều kiện, tiêu chuẩn, trình độ và năng lực chuyên môn, nghiệp vụ theo yêu cầu, nhiệm vụ của vị trí việc làm cần tuyển của người được đề nghị tiếp nhận không qua thi tuyển. Hội đồng kiểm tra, sát hạch có 05 hoặc 07 thành viên, bao gồm: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Chủ tịch Hội đồng là người đứng đầu hoặc cấp phó của người đứng đầu cơ quan quản lý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Một ủy viên là người đứng đầu bộ phận tham mưu về công tác tổ chức cán bộ của cơ quan quản lý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Một ủy viên là người đứng đầu cơ quan, tổ chức, đơn vị dự kiến bố trí công chức sau khi được tiếp nhận;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Các ủy viên khác là đại diện một số bộ phận chuyên môn, nghiệp vụ có liên quan, trong đó có một ủy viên kiêm Thư ký Hội đồng.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Nhiệm vụ, quyền hạn của Hội đồng kiểm tra,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Kiểm tra về các điều kiện, tiêu chuẩn, văn bằng, chứng chỉ theo yêu cầu của vị trí việc làm cần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Sát hạch về trình độ hiểu biết chung và năng lực chuyên môn, nghiệp vụ của người được đề nghị tiếp nhận. Hình thức và nội dung sát hạch do Hội đồng kiểm tra, sát hạch căn cứ vào yêu cầu của vị trí việc làm cần tuyển, báo cáo người đứng đầu cơ quan quản lý công chức xem xét, quyết định trước khi tổ chức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Hội đồng kiểm tra, sát hạch làm việc theo nguyên tắc tập thể, biểu quyết theo đa số và tự giải thể sau khi hoàn thành nhiệm vụ.</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Các trường hợp không phải thành lập Hội đồng kiểm tra, sát hạch khi xem xét tiếp nhận không qua thi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Các trường hợp sau đây, có trình độ đào tạo từ đại học trở lên, có thời gian công tác liên tục (không kể thời gian tập sự, thử việc) từ đủ 60 tháng trở lên và trong thời gian công tác 05 năm gần nhất không vi phạm pháp luật đến mức bị xử lý kỷ luật hoặc bị truy cứu trách nhiệm hình sự, nếu được xem xét tiếp nhận không qua thi tuyển theo quy định tại điểm b khoản 1 điều này thì người đứng đầu cơ quan quản lý công chức không phải thành lập Hội đồng kiểm tra,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Những người đã là cán bộ, công chức từ cấp huyện trở lên thuộc ngành, lĩnh vực cần tuyển, sau đó chuyển sang công tác tại các đơn vị sự nghiệp công lập, lực lượng vũ trang, doanh nghiệp nhà nước;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Viên chức đã được tuyển dụng, bổ nhiệm vào ngạch trước ngày 01 tháng 7 năm 2003 (trừ trường hợp quy định tại khoản 6 điều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Những người đang giữ chức danh lãnh đạo, quản lý từ cấp phòng trở lên trong doanh nghiệp nhà nước;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 Những người là sĩ quan quân đội, sĩ quan công an, quân nhân chuyên nghiệp, người làm công tác cơ yếu.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Người đứng đầu cơ quan quản lý công chức có văn bản gửi Bộ Nội vụ hoặc Ban Tổ chức Trung ương thống nhất ý kiến trước khi quyết định tiếp nhận không qua thi tuyển đối với các trường hợp đặc biệt trong tuyển dụng công chức theo quy định tại điều này, cụ thể như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Tòa án nhân dân tối cao, Viện Kiểm sát nhân dân tối cao, Kiểm toán Nhà nước, Văn phòng Quốc hội, Văn phòng Chủ tịch nước, các Bộ, cơ quan ngang Bộ, cơ quan thuộc Chính phủ, Ủy ban nhân dân các tỉnh, thành phố trực thuộc Trung ương và các tổ chức khác do Chính phủ, Thủ tướng Chính phủ thành lập mà không phải là đơn vị sự nghiệp công lập gửi văn bản về Bộ Nội vụ để thống nhất ý kiến;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Cơ quan có thẩm quyền của Đảng Cộng sản Việt Nam, tổ chức chính trị - xã hội, các tỉnh ủy, thành ủy trực thuộc Trung ương gửi văn bản về Ban Tổ chức Trung ương để thống nhất ý kiến.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Hồ sơ đề nghị thống nhất ý kiến đối với các trường hợp tiếp nhận không qua thi tuyển gửi Bộ Nội vụ hoặc Ban Tổ chức Trung ương, bao gồm: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Công văn đề nghị do người đứng đầu hoặc cấp phó của người đứng đầu cơ quan quản lý công chức ký, trong đó có bản mô tả công việc của vị trí việc làm cần tuyển tương ứng với từng trường hợp đề nghị tiếp nhận không qua thi tuyển; số chỉ tiêu biên chế được giao mà chưa sử dụng của cơ quan, tổ chức, đơn vị cần tuyển; dự kiến xếp ngạch, bậc lương đối với trường hợp đề nghị bổ nhiệm vào ngạch chuyên viên chính, chuyên viên cao cấp hoặc tương đương và trường hợp quy định tại khoản 2 Điều 11 Thông tư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Biên bản, kết quả họp Hội đồng kiểm tra, sát hạch đối với trường hợp phải qua kiểm tra, sát hạch. Đối với trường hợp không phải qua kiểm tra, sát hạch quy định tại điểm c khoản 2 điều này thì phải có văn bản đề nghị tiếp nhận của người đứng đầu cơ quan, tổ chức, đơn vị nơi dự kiến bố trí công tác đối với người được tiếp nhận không qua thi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Hồ sơ của người được đề nghị tiếp nhận không qua thi tuyển bao gồm:</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Bản sơ yếu lý lịch tự thuật có xác nhận của cơ quan có thẩm quyền trong thời hạn 30 ngày, tính đến ngày nộp hồ sơ dự tuyển đối với trường hợp tiếp nhận quy định tại điểm a khoản 1 điều này; bản sơ yếu lý lịch theo mẫu số 2c ban hành kèm theo Quyết định số </w:t>
      </w:r>
      <w:hyperlink r:id="rId13" w:tgtFrame="_blank" w:tooltip="Quyết định 02/2008/QĐ-BNV" w:history="1">
        <w:r>
          <w:rPr>
            <w:rStyle w:val="Hyperlink"/>
            <w:rFonts w:ascii="Arial" w:hAnsi="Arial" w:cs="Arial"/>
            <w:color w:val="0E70C3"/>
            <w:sz w:val="18"/>
            <w:szCs w:val="18"/>
            <w:u w:val="none"/>
          </w:rPr>
          <w:t>02/2008/QĐ-BNV</w:t>
        </w:r>
      </w:hyperlink>
      <w:r>
        <w:rPr>
          <w:rFonts w:ascii="Arial" w:hAnsi="Arial" w:cs="Arial"/>
          <w:color w:val="000000"/>
          <w:sz w:val="18"/>
          <w:szCs w:val="18"/>
        </w:rPr>
        <w:t> ngày 06 tháng 10 năm 2008 của Bộ trưởng Bộ Nội vụ về việc ban hành mẫu biểu quản lý hồ sơ cán bộ, công chức (sau đây viết tắt là mẫu số 2c), có xác nhận của cơ quan, tổ chức, đơn vị nơi người đó công tác trong thời hạn 30 ngày, tính đến ngày nộp hồ sơ dự tuyển đối với trường hợp tiếp nhận quy định tại điểm b khoản 1 điều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Bản sao giấy khai sinh;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Bản sao các văn bằng, chứng chỉ theo yêu cầu của vị trí dự tuyển, được cơ quan có thẩm quyền chứng thực;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Bản sao kết quả học tập theo yêu cầu của vị trí dự tuyển đối với trường hợp tiếp nhận quy định tại điểm a khoản 1 điều này, được cơ quan có thẩm quyền chứng thực;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Giấy chứng nhận sức khỏe do cơ quan y tế có thẩm quyền cấp trong thời hạn 30 ngày, tính đến ngày nộp hồ sơ dự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Phiếu lý lịch tư pháp do Sở Tư pháp nơi thường trú cấp;</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Bản tự nhận xét, đánh giá của người được đề nghị tiếp nhận về phẩm chất chính trị, phẩm chất đạo đức, trình độ và năng lực chuyên môn, nghiệp vụ, quá trình công tác và các hình thức khen thưởng đã đạt được, có nhận xét và xác nhận của người đứng đầu cơ quan, tổ chức, đơn vị nơi người đó công tác đối với trường hợp tiếp nhận quy định tại điểm b khoản 1 điều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Trong thời hạn 30 ngày, kể từ ngày nhận được đủ hồ sơ đề nghị của cơ quan quản lý công chức theo quy định tại khoản 3 điều này, Bộ Nội vụ hoặc Ban Tổ chức Trung ương phải có văn bản trả lời; nếu không trả lời thì coi như đồng ý. Trường hợp hồ sơ chưa đủ theo quy định thì trong thời hạn 15 ngày kể từ ngày nhận được đề nghị, Bộ Nội vụ hoặc Ban Tổ chức Trung ương phải có văn bản yêu cầu cơ quan quản lý công chức bổ sung, hoàn thiện đủ hồ sơ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ml:space="preserve">5. Người đứng đầu cơ quan quản lý công chức chịu trách nhiệm về các điều kiện, tiêu chuẩn, phẩm chất, trình độ và năng lực chuyên môn, nghiệp vụ của người được đề nghị tiếp nhận không qua thi </w:t>
      </w:r>
      <w:r>
        <w:rPr>
          <w:rFonts w:ascii="Arial" w:hAnsi="Arial" w:cs="Arial"/>
          <w:color w:val="000000"/>
          <w:sz w:val="18"/>
          <w:szCs w:val="18"/>
        </w:rPr>
        <w:lastRenderedPageBreak/>
        <w:t>tuyển. Bộ Nội vụ hoặc Ban Tổ chức Trung ương chịu trách nhiệm thẩm định về điều kiện, tiêu chuẩn, quy trình, hồ sơ thực hiện việc tiếp nhận không qua thi tuyển.</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6. Việc xét chuyển thành công chức không qua thi tuyển đối với viên chức đã có thời gian làm việc tại đơn vị sự nghiệp công lập từ đủ 05 năm trở lên theo quy định tại </w:t>
      </w:r>
      <w:bookmarkStart w:id="28" w:name="dc_11"/>
      <w:r>
        <w:rPr>
          <w:rFonts w:ascii="Arial" w:hAnsi="Arial" w:cs="Arial"/>
          <w:color w:val="000000"/>
          <w:sz w:val="18"/>
          <w:szCs w:val="18"/>
        </w:rPr>
        <w:t>điểm a khoản 1 Điều 58 Luật Viên chức</w:t>
      </w:r>
      <w:bookmarkEnd w:id="28"/>
      <w:r>
        <w:rPr>
          <w:rFonts w:ascii="Arial" w:hAnsi="Arial" w:cs="Arial"/>
          <w:color w:val="000000"/>
          <w:sz w:val="18"/>
          <w:szCs w:val="18"/>
        </w:rPr>
        <w:t> thực hiện theo quy định của Chính phủ về việc quy định chi tiết và hướng dẫn thi hành Luật Viên chức.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9" w:name="dieu_11"/>
      <w:r>
        <w:rPr>
          <w:rFonts w:ascii="Arial" w:hAnsi="Arial" w:cs="Arial"/>
          <w:b/>
          <w:bCs/>
          <w:color w:val="000000"/>
          <w:sz w:val="18"/>
          <w:szCs w:val="18"/>
        </w:rPr>
        <w:t>Điều 11. Xếp ngạch, bậc lương đối với trường hợp đã có thời gian công tác có đóng bảo hiểm xã hội bắt buộc khi được tuyển dụng</w:t>
      </w:r>
      <w:bookmarkEnd w:id="29"/>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trường hợp đang được xếp lương theo ngạch, bậc, chức vụ, cấp hàm theo bảng lương do Nhà nước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Trường hợp bổ nhiệm và xếp lương vào ngạch chuyên viên hoặc tương đương trở xuống:</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Người đứng đầu cơ quan quản lý công chức quyết định xếp ngạch, bậc lương theo thẩm quyền và theo đúng hướng dẫn tại Thông tư số </w:t>
      </w:r>
      <w:hyperlink r:id="rId14" w:tgtFrame="_blank" w:tooltip="Thông tư 79/2005/TT-BNV" w:history="1">
        <w:r>
          <w:rPr>
            <w:rStyle w:val="Hyperlink"/>
            <w:rFonts w:ascii="Arial" w:hAnsi="Arial" w:cs="Arial"/>
            <w:color w:val="0E70C3"/>
            <w:sz w:val="18"/>
            <w:szCs w:val="18"/>
            <w:u w:val="none"/>
          </w:rPr>
          <w:t>79/2005/TT-BNV</w:t>
        </w:r>
      </w:hyperlink>
      <w:r>
        <w:rPr>
          <w:rFonts w:ascii="Arial" w:hAnsi="Arial" w:cs="Arial"/>
          <w:color w:val="000000"/>
          <w:sz w:val="18"/>
          <w:szCs w:val="18"/>
        </w:rPr>
        <w:t> ngày 10 tháng 8 năm 2005 của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Trường hợp bổ nhiệm và xếp lương vào ngạch chuyên viên chính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Người đứng đầu cơ quan quản lý công chức phải có dự kiến phương án xếp ngạch, bậc lương cụ thể đối với từng trường hợp và có văn bản kèm theo hồ sơ đề nghị Bộ Nội vụ hoặc Ban Tổ chức Trung ương thống nhất ý kiến trước khi người đứng đầu cơ quan quản lý công chức quyết định theo thẩm quyền. Hồ sơ bao gồm: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Bản sao các văn bằng, chứng chỉ theo tiêu chuẩn nghiệp vụ của ngạch công chức được cơ quan có thẩm quyền chứng thực;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Bản chụp các quyết định xếp lương của cơ quan có thẩm quyền;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Bản sao sổ bảo hiểm xã hội được cơ quan có thẩm quyền xác nhận.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Trường hợp bổ nhiệm và xếp lương vào ngạch chuyên viên cao cấp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Người đứng đầu cơ quan quản lý công chức phải có dự kiến phương án xếp ngạch, bậc lương cụ thể đối với từng trường hợp và có văn bản kèm theo hồ sơ đề nghị Bộ Nội vụ hoặc Ban Tổ chức Trung ương xem xét, quyết định. Hồ sơ bao gồm: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Bản sơ yếu lý lịch của công chức theo mẫu số 2c, có xác nhận của cơ quan sử dụng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Bản sao các văn bằng, chứng chỉ theo tiêu chuẩn nghiệp vụ của ngạch công chức được cơ quan có thẩm quyền chứng thực;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Bản chụp các quyết định xếp lương của cơ quan có thẩm quyền;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Bản sao sổ bảo hiểm xã hội được cơ quan có thẩm quyền xác nhận.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trường hợp chưa được xếp lương theo ngạch, bậc, chức vụ, cấp hàm theo bảng lương do Nhà nước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Người đứng đầu cơ quan quản lý công chức phải có dự kiến phương án xếp ngạch, bậc lương cụ thể đối với từng trường hợp và có văn bản kèm theo bản sao sổ bảo hiểm xã hội được cơ quan có thẩm quyền xác nhận của từng trường hợp, đề nghị Bộ Nội vụ hoặc Ban Tổ chức Trung ương thống nhất ý kiến trước khi thực hiện.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Thời hạn Bộ Nội vụ hoặc Ban Tổ chức Trung ương trả lời đề nghị xếp ngạch, bậc lương đối với các trường hợp quy định tại các điểm b, điểm c khoản 1 và khoản 2 điều này thực hiện theo quy định tại khoản 4 Điều 10 Thông tư này.</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0" w:name="dieu_12"/>
      <w:r>
        <w:rPr>
          <w:rFonts w:ascii="Arial" w:hAnsi="Arial" w:cs="Arial"/>
          <w:b/>
          <w:bCs/>
          <w:color w:val="000000"/>
          <w:sz w:val="18"/>
          <w:szCs w:val="18"/>
        </w:rPr>
        <w:t>Điều 12. Trường hợp được miễn thực hiện chế độ tập sự</w:t>
      </w:r>
      <w:bookmarkEnd w:id="30"/>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Người được tuyển dụng được miễn thực hiện chế độ tập sự khi có đủ các điều kiện sau:</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Đã có thời gian công tác có đóng bảo hiểm xã hội bắt buộc bằng hoặc lớn hơn thời gian tập sự quy định tại </w:t>
      </w:r>
      <w:bookmarkStart w:id="31" w:name="dc_12"/>
      <w:r>
        <w:rPr>
          <w:rFonts w:ascii="Arial" w:hAnsi="Arial" w:cs="Arial"/>
          <w:color w:val="000000"/>
          <w:sz w:val="18"/>
          <w:szCs w:val="18"/>
        </w:rPr>
        <w:t>khoản 2 Điều 20 Nghị định số </w:t>
      </w:r>
      <w:bookmarkEnd w:id="31"/>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"https://thuvienphapluat.vn/van-ban/bo-may-hanh-chinh/nghi-dinh-24-2010-nd-cp-tuyen-dung-su-dung-quan-ly-cong-chuc-102412.aspx" \o "Nghị định 24/2010/NĐ-CP"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24/2010/NĐ-CP</w:t>
      </w:r>
      <w:r>
        <w:rPr>
          <w:rFonts w:ascii="Arial" w:hAnsi="Arial" w:cs="Arial"/>
          <w:color w:val="000000"/>
          <w:sz w:val="18"/>
          <w:szCs w:val="18"/>
        </w:rPr>
        <w:fldChar w:fldCharType="end"/>
      </w:r>
      <w:r>
        <w:rPr>
          <w:rFonts w:ascii="Arial" w:hAnsi="Arial" w:cs="Arial"/>
          <w:color w:val="000000"/>
          <w:sz w:val="18"/>
          <w:szCs w:val="18"/>
        </w:rPr>
        <w:t> tương ứng với ngạch công chức được tuyển dụng;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b) Trong thời gian công tác có đóng bảo hiểm xã hội bắt buộc quy định tại điểm a khoản này, người được tuyển dụng đã làm những công việc theo yêu cầu của ngạch công chức được tuyển dụng.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Người được tuyển dụng nếu không có đủ các điều kiện quy định tại khoản 1 điều này thì phải thực hiện chế độ tập sự; thời gian người được tuyển dụng đã làm những công việc quy định tại điểm b khoản 1 điều này (nếu có) được tính vào thời gian tập sự.</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2" w:name="dieu_13"/>
      <w:r>
        <w:rPr>
          <w:rFonts w:ascii="Arial" w:hAnsi="Arial" w:cs="Arial"/>
          <w:b/>
          <w:bCs/>
          <w:color w:val="000000"/>
          <w:sz w:val="18"/>
          <w:szCs w:val="18"/>
        </w:rPr>
        <w:t>Điều 13. Xét chuyển cán bộ, công chức cấp xã thành công chức từ cấp huyện trở lên</w:t>
      </w:r>
      <w:bookmarkEnd w:id="32"/>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 Cán bộ cấp xã theo quy định tại </w:t>
      </w:r>
      <w:bookmarkStart w:id="33" w:name="dc_13"/>
      <w:r>
        <w:rPr>
          <w:rFonts w:ascii="Arial" w:hAnsi="Arial" w:cs="Arial"/>
          <w:color w:val="000000"/>
          <w:sz w:val="18"/>
          <w:szCs w:val="18"/>
        </w:rPr>
        <w:t>khoản 2 Điều 61 Luật Cán bộ, công chức </w:t>
      </w:r>
      <w:bookmarkEnd w:id="33"/>
      <w:r>
        <w:rPr>
          <w:rFonts w:ascii="Arial" w:hAnsi="Arial" w:cs="Arial"/>
          <w:color w:val="000000"/>
          <w:sz w:val="18"/>
          <w:szCs w:val="18"/>
        </w:rPr>
        <w:t>khi thôi giữ chức vụ theo nhiệm kỳ và công chức cấp xã theo quy định tại </w:t>
      </w:r>
      <w:bookmarkStart w:id="34" w:name="dc_14"/>
      <w:r>
        <w:rPr>
          <w:rFonts w:ascii="Arial" w:hAnsi="Arial" w:cs="Arial"/>
          <w:color w:val="000000"/>
          <w:sz w:val="18"/>
          <w:szCs w:val="18"/>
        </w:rPr>
        <w:t>khoản 3 Điều 61 Luật Cán bộ, công chức</w:t>
      </w:r>
      <w:bookmarkEnd w:id="34"/>
      <w:r>
        <w:rPr>
          <w:rFonts w:ascii="Arial" w:hAnsi="Arial" w:cs="Arial"/>
          <w:color w:val="000000"/>
          <w:sz w:val="18"/>
          <w:szCs w:val="18"/>
        </w:rPr>
        <w:t>, nếu có đủ các điều kiện, tiêu chuẩn quy định tại </w:t>
      </w:r>
      <w:bookmarkStart w:id="35" w:name="dc_15"/>
      <w:r>
        <w:rPr>
          <w:rFonts w:ascii="Arial" w:hAnsi="Arial" w:cs="Arial"/>
          <w:color w:val="000000"/>
          <w:sz w:val="18"/>
          <w:szCs w:val="18"/>
        </w:rPr>
        <w:t>Điều 25 Nghị định số </w:t>
      </w:r>
      <w:bookmarkEnd w:id="35"/>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"https://thuvienphapluat.vn/van-ban/bo-may-hanh-chinh/nghi-dinh-24-2010-nd-cp-tuyen-dung-su-dung-quan-ly-cong-chuc-102412.aspx" \o "Nghị định 24/2010/NĐ-CP"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24/2010/NĐ-CP</w:t>
      </w:r>
      <w:r>
        <w:rPr>
          <w:rFonts w:ascii="Arial" w:hAnsi="Arial" w:cs="Arial"/>
          <w:color w:val="000000"/>
          <w:sz w:val="18"/>
          <w:szCs w:val="18"/>
        </w:rPr>
        <w:fldChar w:fldCharType="end"/>
      </w:r>
      <w:r>
        <w:rPr>
          <w:rFonts w:ascii="Arial" w:hAnsi="Arial" w:cs="Arial"/>
          <w:color w:val="000000"/>
          <w:sz w:val="18"/>
          <w:szCs w:val="18"/>
        </w:rPr>
        <w:t> và có nguyện vọng chuyển thành công chức từ cấp huyện trở lên phải có hồ sơ cá nhân gửi người đứng đầu cơ quan có thẩm quyền tuyển dụng công chức xem xét. Hồ sơ cá nhân bao gồm: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Đơn đề nghị xét chuyển thành công chức từ cấp huyện trở lên;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Bản đánh giá, nhận xét quá trình công tác và ý kiến đồng ý cho chuyển công tác của người đứng đầu cơ quan có thẩm quyền quản lý cán bộ, công chức cấp xã;</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Bản sơ yếu lý lịch của cán bộ, công chức theo mẫu số 2c, có xác nhận của Ủy ban nhân dân cấp xã nơi người đề nghị xét chuyển đang công tác;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Bản sao các văn bằng, chứng chỉ theo tiêu chuẩn nghiệp vụ của ngạch công chức được cơ quan có thẩm quyền chứng thực;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đ) Giấy chứng nhận sức khỏe do cơ quan y tế có thẩm quyền cấp trong thời hạn 30 ngày, tính đến ngày nộp hồ sơ đề nghị xét chuyển.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Khi xét chuyển cán bộ, công chức cấp xã thành công chức từ cấp huyện trở lên, người đứng đầu cơ quan có thẩm quyền tuyển dụng công chức phải thành lập Hội đồng kiểm tra, sát hạch để đánh giá về các điều kiện, tiêu chuẩn, trình độ và năng lực chuyên môn, nghiệp vụ của người đề nghị xét chuyển theo yêu cầu, nhiệm vụ của vị trí việc làm cần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Hội đồng kiểm tra, sát hạch có 05 hoặc 07 thành viên, bao gồm: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Chủ tịch Hội đồng là người đứng đầu hoặc cấp phó của người đứng đầu cơ quan có thẩm quyền tuyển dụng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Một ủy viên là người đứng đầu bộ phận tham mưu về công tác tổ chức cán bộ của cơ quan có thẩm quyền tuyển dụng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Một ủy viên là người đứng đầu cơ quan, tổ chức, đơn vị dự kiến bố trí công chức sau khi được xét chuyển;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Các ủy viên khác là đại diện một số bộ phận chuyên môn, nghiệp vụ có liên quan, trong đó có một số ủy viên kiêm Thư ký Hội đồng.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Nhiệm vụ, quyền hạn của Hội đồng kiểm tra,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Kiểm tra về các điều kiện, tiêu chuẩn, văn bằng, chứng chỉ của người đề nghị xét chuyển theo yêu cầu của vị trí việc làm cần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Sát hạch về trình độ hiểu biết chung và năng lực chuyên môn, nghiệp vụ của người đề nghị xét chuyển. Hình thức và nội dung sát hạch do Hội đồng kiểm tra, sát hạch căn cứ vào yêu cầu của vị trí việc làm cần tuyển, báo cáo người đứng đầu cơ quan có thẩm quyền tuyển dụng công chức xem xét, quyết định trước khi tổ chức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Hội đồng kiểm tra, sát hạch làm việc theo nguyên tắc tập thể, biểu quyết theo đa số và tự giải thể sau khi hoàn thành nhiệm vụ.</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Thẩm quyền quyết định xét chuyển cán bộ, công chức cấp xã thành công chức từ cấp huyện trở lên:</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Trường hợp cơ quan quản lý công chức theo quy định tại </w:t>
      </w:r>
      <w:bookmarkStart w:id="36" w:name="dc_16"/>
      <w:r>
        <w:rPr>
          <w:rFonts w:ascii="Arial" w:hAnsi="Arial" w:cs="Arial"/>
          <w:color w:val="000000"/>
          <w:sz w:val="18"/>
          <w:szCs w:val="18"/>
        </w:rPr>
        <w:t>khoản 2 Điều 2 Nghị định số </w:t>
      </w:r>
      <w:bookmarkEnd w:id="36"/>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"https://thuvienphapluat.vn/van-ban/bo-may-hanh-chinh/nghi-dinh-24-2010-nd-cp-tuyen-dung-su-dung-quan-ly-cong-chuc-102412.aspx" \o "Nghị định 24/2010/NĐ-CP"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24/2010/NĐ-CP</w:t>
      </w:r>
      <w:r>
        <w:rPr>
          <w:rFonts w:ascii="Arial" w:hAnsi="Arial" w:cs="Arial"/>
          <w:color w:val="000000"/>
          <w:sz w:val="18"/>
          <w:szCs w:val="18"/>
        </w:rPr>
        <w:fldChar w:fldCharType="end"/>
      </w:r>
      <w:r>
        <w:rPr>
          <w:rFonts w:ascii="Arial" w:hAnsi="Arial" w:cs="Arial"/>
          <w:color w:val="000000"/>
          <w:sz w:val="18"/>
          <w:szCs w:val="18"/>
        </w:rPr>
        <w:t> thực hiện việc xét chuyển thì căn cứ vào kết quả kiểm tra, sát hạch, người đứng đầu cơ quan quản lý công chức xem xét, quyết định xét chuyển;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ml:space="preserve">b) Trường hợp cơ quan, tổ chức, đơn vị được phân cấp thẩm quyền tuyển dụng công chức theo quy định tại khoản 2 Điều 3 Thông tư này thực hiện việc xét chuyển thì người đứng đầu cơ quan có thẩm </w:t>
      </w:r>
      <w:r>
        <w:rPr>
          <w:rFonts w:ascii="Arial" w:hAnsi="Arial" w:cs="Arial"/>
          <w:color w:val="000000"/>
          <w:sz w:val="18"/>
          <w:szCs w:val="18"/>
        </w:rPr>
        <w:lastRenderedPageBreak/>
        <w:t>quyền tuyển dụng công chức có văn bản (kèm theo biên bản họp Hội đồng kiểm tra, sát hạch) gửi người đứng đầu cơ quan quản lý công chức xem xét, quyết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Cán bộ, công chức cấp xã được xét chuyển thành công chức từ cấp huyện trở lên thì được bổ nhiệm vào ngạch công chức tương ứng với vị trí việc làm đảm nhiệm. Việc xếp lương vào ngạch được bổ nhiệm và bảo lưu lương, phụ cấp chức vụ lãnh đạo (nếu có) thực hiện như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Đối với công chức cấp xã đang xếp lương như công chức hành chính thì tiếp tục hưởng bậc lương hiện hưởng;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Đối với cán bộ cấp xã:</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Trường hợp đang xếp lương như công chức hành chính và hưởng phụ cấp chức vụ lãnh đạo thì tiếp tục hưởng bậc lương hiện hưởng. Nếu công việc mới đảm nhiệm không có phụ cấp chức vụ lãnh đạo hoặc có mức phụ cấp chức vụ lãnh đạo thấp hơn thì được bảo lưu mức phụ cấp chức vụ lãnh đạo hiện hưởng trong thời gian 06 tháng, kể từ ngày được xét chuyển;</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 Trường hợp đang xếp lương chức vụ thì phải thực hiện xếp lại lương vào ngạch được bổ nhiệm theo hướng dẫn tại </w:t>
      </w:r>
      <w:bookmarkStart w:id="37" w:name="dc_17"/>
      <w:r>
        <w:rPr>
          <w:rFonts w:ascii="Arial" w:hAnsi="Arial" w:cs="Arial"/>
          <w:color w:val="000000"/>
          <w:sz w:val="18"/>
          <w:szCs w:val="18"/>
        </w:rPr>
        <w:t>khoản 2 Điều 2 Thông tư liên tịch số 03/2010/TTLT-BNV-BTC-BLĐTB&amp;XH </w:t>
      </w:r>
      <w:bookmarkEnd w:id="37"/>
      <w:r>
        <w:rPr>
          <w:rFonts w:ascii="Arial" w:hAnsi="Arial" w:cs="Arial"/>
          <w:color w:val="000000"/>
          <w:sz w:val="18"/>
          <w:szCs w:val="18"/>
        </w:rPr>
        <w:t>ngày 27 tháng 5 năm 2010 của Bộ Nội vụ, Bộ Tài chính và Bộ Lao động-Thương binh và Xã hội hướng dẫn thực hiện Nghị định số </w:t>
      </w:r>
      <w:hyperlink r:id="rId15" w:tgtFrame="_blank" w:tooltip="Nghị định 92/2009/NĐ-CP" w:history="1">
        <w:r>
          <w:rPr>
            <w:rStyle w:val="Hyperlink"/>
            <w:rFonts w:ascii="Arial" w:hAnsi="Arial" w:cs="Arial"/>
            <w:color w:val="0E70C3"/>
            <w:sz w:val="18"/>
            <w:szCs w:val="18"/>
            <w:u w:val="none"/>
          </w:rPr>
          <w:t>92/2009/NĐ-CP</w:t>
        </w:r>
      </w:hyperlink>
      <w:r>
        <w:rPr>
          <w:rFonts w:ascii="Arial" w:hAnsi="Arial" w:cs="Arial"/>
          <w:color w:val="000000"/>
          <w:sz w:val="18"/>
          <w:szCs w:val="18"/>
        </w:rPr>
        <w:t> ngày 22 tháng 10 năm 2009 của Chính phủ về chức danh, số lượng, một số chế độ, chính sách đối với cán bộ, công chức ở xã, phường, thị trấn và những người hoạt động không chuyên trách ở cấp xã. Nếu tổng hệ số lương theo ngạch, bậc cộng với phụ cấp chức vụ lãnh đạo (nếu có) theo công việc mới đảm nhiệm thấp hơn so với hệ số lương chức vụ hiện hưởng thì được bảo lưu chênh lệch trong thời gian 06 tháng, kể từ ngày được xét chuyển.</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8" w:name="chuong_2"/>
      <w:r>
        <w:rPr>
          <w:rFonts w:ascii="Arial" w:hAnsi="Arial" w:cs="Arial"/>
          <w:b/>
          <w:bCs/>
          <w:color w:val="000000"/>
          <w:sz w:val="18"/>
          <w:szCs w:val="18"/>
        </w:rPr>
        <w:t>Chương 2</w:t>
      </w:r>
      <w:bookmarkEnd w:id="38"/>
      <w:r>
        <w:rPr>
          <w:rFonts w:ascii="Arial" w:hAnsi="Arial" w:cs="Arial"/>
          <w:b/>
          <w:bCs/>
          <w:color w:val="000000"/>
          <w:sz w:val="18"/>
          <w:szCs w:val="18"/>
        </w:rPr>
        <w:t>.</w:t>
      </w:r>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9" w:name="chuong_2_name"/>
      <w:r>
        <w:rPr>
          <w:rFonts w:ascii="Arial" w:hAnsi="Arial" w:cs="Arial"/>
          <w:b/>
          <w:bCs/>
          <w:color w:val="000000"/>
        </w:rPr>
        <w:t>NÂNG NGẠCH CÔNG CHỨC</w:t>
      </w:r>
      <w:bookmarkEnd w:id="39"/>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0" w:name="dieu_14"/>
      <w:r>
        <w:rPr>
          <w:rFonts w:ascii="Arial" w:hAnsi="Arial" w:cs="Arial"/>
          <w:b/>
          <w:bCs/>
          <w:color w:val="000000"/>
          <w:sz w:val="18"/>
          <w:szCs w:val="18"/>
        </w:rPr>
        <w:t>Điều 14. Nguyên tắc tổ chức thi nâng ngạch công chức</w:t>
      </w:r>
      <w:bookmarkEnd w:id="40"/>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Kỳ thi nâng ngạch theo nguyên tắc cạnh tranh được thực hiện giữa các công chức trong cùng cơ quan quản lý công chức và khi cơ quan quản lý công chức có đủ các điều kiện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Cơ quan quản lý công chức đã xây dựng được cơ cấu ngạch công chức của các cơ quan, tổ chức, đơn vị thuộc phạm vi quản lý và được Bộ Nội vụ hoặc Ban Tổ chức Trung ương phê duyệt theo thẩm quyền;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Cơ quan quản lý công chức đã mô tả, xác định được vị trí việc làm còn thiếu so với cơ cấu ngạch công chức của các cơ quan, tổ chức, đơn vị thuộc phạm vi quản lý để làm cơ sở xác định chỉ tiêu nâng ngạch theo từng ngạch công chức.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2. Căn cứ vào số lượng chỉ tiêu nâng ngạch của cơ quan quản lý công chức quy định tại điểm b khoản 1 điều này, công chức có đủ các tiêu chuẩn, điều kiện quy định tại </w:t>
      </w:r>
      <w:bookmarkStart w:id="41" w:name="dc_18"/>
      <w:r>
        <w:rPr>
          <w:rFonts w:ascii="Arial" w:hAnsi="Arial" w:cs="Arial"/>
          <w:color w:val="000000"/>
          <w:sz w:val="18"/>
          <w:szCs w:val="18"/>
        </w:rPr>
        <w:t>khoản 3 Điều 29 Nghị định số 24/2010/NĐ-CP</w:t>
      </w:r>
      <w:bookmarkEnd w:id="41"/>
      <w:r>
        <w:rPr>
          <w:rFonts w:ascii="Arial" w:hAnsi="Arial" w:cs="Arial"/>
          <w:color w:val="000000"/>
          <w:sz w:val="18"/>
          <w:szCs w:val="18"/>
        </w:rPr>
        <w:t> được đăng ký dự thi nâng ngạch theo nguyên tắc không hạn chế số lượng công chức đăng ký dự thi trên mỗi chỉ tiêu nâng ngạch.</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2" w:name="dieu_15"/>
      <w:r>
        <w:rPr>
          <w:rFonts w:ascii="Arial" w:hAnsi="Arial" w:cs="Arial"/>
          <w:b/>
          <w:bCs/>
          <w:color w:val="000000"/>
          <w:sz w:val="18"/>
          <w:szCs w:val="18"/>
        </w:rPr>
        <w:t>Điều 15. Xây dựng kế hoạch thi nâng ngạch công chức</w:t>
      </w:r>
      <w:bookmarkEnd w:id="42"/>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Chậm nhất là ngày 31 tháng 3 hàng năm, cơ quan quản lý công chức phải có văn bản báo cáo về số lượng, cơ cấu ngạch công chức hiện có của các cơ quan, tổ chức, đơn vị thuộc phạm vi quản lý và đề nghị số lượng chỉ tiêu nâng ngạch của từng ngạch công chức theo mẫu số 1 ban hành kèm theo Thông tư này, gửi Bộ Nội vụ hoặc Ban Tổ chức Trung ương để thống nhất ý kiến trước khi tổ chức các kỳ thi nâng ngạch theo thẩm quyền, cụ thể như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Tòa án nhân dân tối cao, Viện Kiểm sát nhân dân tối cao, Kiểm toán Nhà nước, Văn phòng Quốc hội, Văn phòng Chủ tịch nước, các Bộ, cơ quan ngang Bộ, cơ quan thuộc Chính phủ, Ủy ban nhân dân các tỉnh, thành phố trực thuộc Trung ương và các tổ chức khác do Chính phủ, Thủ tướng Chính phủ thành lập mà không phải là đơn vị sự nghiệp công lập gửi văn bản về Bộ Nội vụ;</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Cơ quan có thẩm quyền của Đảng Cộng sản Việt Nam, tổ chức chính trị - xã hội, các tỉnh ủy, thành ủy trực thuộc Trung ương gửi văn bản về Ban Tổ chức Trung ương, đồng thời gửi Bộ Nội vụ một bản để phối hợp tổ chức thực hiện.</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3" w:name="khoan_2_15"/>
      <w:r>
        <w:rPr>
          <w:rFonts w:ascii="Arial" w:hAnsi="Arial" w:cs="Arial"/>
          <w:color w:val="000000"/>
          <w:sz w:val="18"/>
          <w:szCs w:val="18"/>
          <w:shd w:val="clear" w:color="auto" w:fill="FFFF96"/>
        </w:rPr>
        <w:t>2. Xây dựng kế hoạch tổ chức thi nâng ngạch công chức:</w:t>
      </w:r>
      <w:bookmarkEnd w:id="43"/>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Đối với kỳ thi nâng ngạch lên cán sự, chuyên viên hoặc tương đương:</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lastRenderedPageBreak/>
        <w:t>Căn cứ ý kiến thống nhất của Bộ Nội vụ hoặc Ban Tổ chức Trung ương về số lượng chỉ tiêu nâng ngạch theo quy định tại khoản 1 điều này, cơ quan quản lý công chức xây dựng kế hoạch tổ chức thi nâng ngạch công chức, gửi Bộ Nội vụ hoặc Ban Tổ chức Trung ương phê duyệt trước khi tổ chức thực hiện theo thẩm quyền quy định tại </w:t>
      </w:r>
      <w:bookmarkStart w:id="44" w:name="dc_19"/>
      <w:r>
        <w:rPr>
          <w:rFonts w:ascii="Arial" w:hAnsi="Arial" w:cs="Arial"/>
          <w:color w:val="000000"/>
          <w:sz w:val="18"/>
          <w:szCs w:val="18"/>
        </w:rPr>
        <w:t>khoản 3 Điều 30 Nghị định số 24/2010/NĐ-CP</w:t>
      </w:r>
      <w:bookmarkEnd w:id="44"/>
      <w:r>
        <w:rPr>
          <w:rFonts w:ascii="Arial" w:hAnsi="Arial" w:cs="Arial"/>
          <w:color w:val="000000"/>
          <w:sz w:val="18"/>
          <w:szCs w:val="18"/>
        </w:rPr>
        <w: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Đối với kỳ thi nâng ngạch lên chuyên viên chính, chuyên viên cao cấp hoặc tương đương:</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Căn cứ đề nghị số lượng chỉ tiêu nâng ngạch của các cơ quan quản lý công chức, Bộ Nội vụ hoặc Ban Tổ chức Trung ương xây dựng kế hoạch tổ chức thi nâng ngạch công chức để tổ chức thực hiện theo thẩm quyền quy định tại </w:t>
      </w:r>
      <w:bookmarkStart w:id="45" w:name="dc_20"/>
      <w:r>
        <w:rPr>
          <w:rFonts w:ascii="Arial" w:hAnsi="Arial" w:cs="Arial"/>
          <w:color w:val="000000"/>
          <w:sz w:val="18"/>
          <w:szCs w:val="18"/>
        </w:rPr>
        <w:t>khoản 1 và khoản 2 Điều 30 Nghị định số 24/2010/NĐ-CP</w:t>
      </w:r>
      <w:bookmarkEnd w:id="45"/>
      <w:r>
        <w:rPr>
          <w:rFonts w:ascii="Arial" w:hAnsi="Arial" w:cs="Arial"/>
          <w:color w:val="000000"/>
          <w:sz w:val="18"/>
          <w:szCs w:val="18"/>
        </w:rPr>
        <w:t>.</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6" w:name="dieu_16"/>
      <w:r>
        <w:rPr>
          <w:rFonts w:ascii="Arial" w:hAnsi="Arial" w:cs="Arial"/>
          <w:b/>
          <w:bCs/>
          <w:color w:val="000000"/>
          <w:sz w:val="18"/>
          <w:szCs w:val="18"/>
        </w:rPr>
        <w:t>Điều 16. Hồ sơ đăng ký dự thi nâng ngạch công chức</w:t>
      </w:r>
      <w:bookmarkEnd w:id="46"/>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Hồ sơ đăng ký dự thi nâng ngạch công chức bao gồm: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Bản sơ yếu lý lịch của công chức theo mẫu số 2c, có xác nhận của cơ quan sử dụng công chức;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 Bản nhận xét, đánh giá công chức của người đứng đầu cơ quan sử dụng công chức theo các tiêu chuẩn, điều kiện quy định tại </w:t>
      </w:r>
      <w:bookmarkStart w:id="47" w:name="dc_21"/>
      <w:r>
        <w:rPr>
          <w:rFonts w:ascii="Arial" w:hAnsi="Arial" w:cs="Arial"/>
          <w:color w:val="000000"/>
          <w:sz w:val="18"/>
          <w:szCs w:val="18"/>
        </w:rPr>
        <w:t>khoản 3 Điều 29 Nghị định số </w:t>
      </w:r>
      <w:bookmarkEnd w:id="47"/>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"https://thuvienphapluat.vn/van-ban/bo-may-hanh-chinh/nghi-dinh-24-2010-nd-cp-tuyen-dung-su-dung-quan-ly-cong-chuc-102412.aspx" \o "Nghị định 24/2010/NĐ-CP"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24/2010/NĐ-CP</w:t>
      </w:r>
      <w:r>
        <w:rPr>
          <w:rFonts w:ascii="Arial" w:hAnsi="Arial" w:cs="Arial"/>
          <w:color w:val="000000"/>
          <w:sz w:val="18"/>
          <w:szCs w:val="18"/>
        </w:rPr>
        <w:fldChar w:fldCharType="end"/>
      </w:r>
      <w:r>
        <w:rPr>
          <w:rFonts w:ascii="Arial" w:hAnsi="Arial" w:cs="Arial"/>
          <w:color w:val="000000"/>
          <w:sz w:val="18"/>
          <w:szCs w:val="18"/>
        </w:rPr>
        <w:t> ;</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Bản sao các văn bằng, chứng chỉ theo yêu cầu của ngạch đăng ký dự thi được cơ quan có thẩm quyền chứng thực;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Giấy chứng nhận sức khỏe do cơ quan y tế có thẩm quyền cấp trong thời hạn 30 ngày, tính đến ngày nộp hồ sơ dự thi nâng ngạch;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đ) Các yêu cầu khác theo quy định của tiêu chuẩn nghiệp vụ ngạch công chức dự thi.</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8" w:name="khoan_2_16"/>
      <w:r>
        <w:rPr>
          <w:rFonts w:ascii="Arial" w:hAnsi="Arial" w:cs="Arial"/>
          <w:color w:val="000000"/>
          <w:sz w:val="18"/>
          <w:szCs w:val="18"/>
          <w:shd w:val="clear" w:color="auto" w:fill="FFFF96"/>
        </w:rPr>
        <w:t>2. Việc xem xét, quyết định công chức có đủ các tiêu chuẩn, điều kiện tham dự kỳ thi nâng ngạch và việc lưu giữ, quản lý hồ sơ đăng ký dự thi nâng ngạch của công chức được thực hiện như sau:</w:t>
      </w:r>
      <w:bookmarkEnd w:id="48"/>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Đối với kỳ thi nâng ngạch lên cán sự, chuyên viên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Cơ quan quản lý công chức chịu trách nhiệm xem xét, quyết định công chức có đủ các tiêu chuẩn, điều kiện tham dự kỳ thi và lưu giữ, quản lý hồ sơ của công chức tham dự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Đối với kỳ thi nâng ngạch lên chuyên viên chính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Cơ quan quản lý công chức chịu trách nhiệm về các tiêu chuẩn, điều kiện của công chức đăng ký tham dự kỳ thi và lưu giữ, quản lý hồ sơ của công chức tham dự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Bộ Nội vụ hoặc Ban Tổ chức Trung ương chịu trách nhiệm thẩm định về các tiêu chuẩn, điều kiện của công chức đăng ký tham dự kỳ thi và thông báo danh sách công chức có đủ các tiêu chuẩn, điều kiện tham dự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Đối với kỳ thi nâng ngạch lên chuyên viên cao cấp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Bộ Nội vụ hoặc Ban Tổ chức Trung ương chịu trách nhiệm xem xét, quyết định công chức có đủ các tiêu chuẩn, điều kiện tham dự kỳ thi và lưu giữ, quản lý hồ sơ của công chức tham dự kỳ thi.</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9" w:name="dieu_17"/>
      <w:r>
        <w:rPr>
          <w:rFonts w:ascii="Arial" w:hAnsi="Arial" w:cs="Arial"/>
          <w:b/>
          <w:bCs/>
          <w:color w:val="000000"/>
          <w:sz w:val="18"/>
          <w:szCs w:val="18"/>
          <w:shd w:val="clear" w:color="auto" w:fill="FFFF96"/>
        </w:rPr>
        <w:t>Điều 17. Tổ chức thi nâng ngạch công chức</w:t>
      </w:r>
      <w:bookmarkEnd w:id="49"/>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kỳ thi nâng ngạch lên cán sự, chuyên viên hoặc tương đương:</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Căn cứ kế hoạch tổ chức thi nâng ngạch công chức được Bộ Nội vụ hoặc Ban Tổ chức Trung ương phê duyệt theo quy định tại điểm a khoản 2 Điều 15 Thông tư này, người đứng đầu cơ quan quản lý công chức quyết định danh sách công chức có đủ các tiêu chuẩn, điều kiện tham dự kỳ thi nâng ngạch lên cán sự, chuyên viên hoặc tương đương; thành lập Hội đồng thi nâng ngạch theo quy định tại </w:t>
      </w:r>
      <w:bookmarkStart w:id="50" w:name="dc_22"/>
      <w:r>
        <w:rPr>
          <w:rFonts w:ascii="Arial" w:hAnsi="Arial" w:cs="Arial"/>
          <w:color w:val="000000"/>
          <w:sz w:val="18"/>
          <w:szCs w:val="18"/>
        </w:rPr>
        <w:t>Điều 32 Nghị định số 24/2010/NĐ-CP</w:t>
      </w:r>
      <w:bookmarkEnd w:id="50"/>
      <w:r>
        <w:rPr>
          <w:rFonts w:ascii="Arial" w:hAnsi="Arial" w:cs="Arial"/>
          <w:color w:val="000000"/>
          <w:sz w:val="18"/>
          <w:szCs w:val="18"/>
        </w:rPr>
        <w:t> để tổ chức kỳ thi và báo cáo kết quả kỳ thi về Bộ Nội vụ hoặc Ban Tổ chức Trung ương để theo dõi theo thẩm quyền.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kỳ thi nâng ngạch lên chuyên viên chính, chuyên viên cao cấp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Căn cứ kế hoạch tổ chức thi nâng ngạch công chức của Bộ Nội vụ hoặc Ban Tổ chức Trung ương theo quy định tại điểm b khoản 2 Điều 15 Thông tư này, cơ quan quản lý công chức lập danh sách công chức có đủ các tiêu chuẩn, điều kiện tham dự kỳ thi nâng ngạch lên chuyên viên chính, chuyên viên cao cấp hoặc tương đương của các cơ quan, tổ chức, đơn vị thuộc phạm vi quản lý theo mẫu số 3 ban hành kèm theo Thông tư này và có văn bản gửi Bộ Nội vụ hoặc Ban Tổ chức Trung ương để thẩm định và tổ chức thi nâng ngạch theo thẩm quyền;</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lastRenderedPageBreak/>
        <w:t>b) Bộ Nội vụ hoặc Ban Tổ chức Trung ương quyết định thành lập Hội đồng thi nâng ngạch theo quy định tại </w:t>
      </w:r>
      <w:bookmarkStart w:id="51" w:name="dc_23"/>
      <w:r>
        <w:rPr>
          <w:rFonts w:ascii="Arial" w:hAnsi="Arial" w:cs="Arial"/>
          <w:color w:val="000000"/>
          <w:sz w:val="18"/>
          <w:szCs w:val="18"/>
        </w:rPr>
        <w:t>Điều 32 Nghị định số </w:t>
      </w:r>
      <w:bookmarkEnd w:id="51"/>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"https://thuvienphapluat.vn/van-ban/bo-may-hanh-chinh/nghi-dinh-24-2010-nd-cp-tuyen-dung-su-dung-quan-ly-cong-chuc-102412.aspx" \o "Nghị định 24/2010/NĐ-CP"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24/2010/NĐ-CP</w:t>
      </w:r>
      <w:r>
        <w:rPr>
          <w:rFonts w:ascii="Arial" w:hAnsi="Arial" w:cs="Arial"/>
          <w:color w:val="000000"/>
          <w:sz w:val="18"/>
          <w:szCs w:val="18"/>
        </w:rPr>
        <w:fldChar w:fldCharType="end"/>
      </w:r>
      <w:r>
        <w:rPr>
          <w:rFonts w:ascii="Arial" w:hAnsi="Arial" w:cs="Arial"/>
          <w:color w:val="000000"/>
          <w:sz w:val="18"/>
          <w:szCs w:val="18"/>
        </w:rPr>
        <w:t> để tổ chức kỳ thi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Việc tổ chức thi nâng ngạch công chức được thực hiện theo Nội quy thi tuyển, thi nâng ngạch công chức (phụ lục số 3) và Quy chế tổ chức thi nâng ngạch công chức (phụ lục số 4) ban hành kèm theo Thông tư này.</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2" w:name="dieu_18"/>
      <w:r>
        <w:rPr>
          <w:rFonts w:ascii="Arial" w:hAnsi="Arial" w:cs="Arial"/>
          <w:b/>
          <w:bCs/>
          <w:color w:val="000000"/>
          <w:sz w:val="18"/>
          <w:szCs w:val="18"/>
        </w:rPr>
        <w:t>Điều 18. Bổ nhiệm ngạch và xếp lương đối với công chức trúng tuyển kỳ thi nâng ngạch</w:t>
      </w:r>
      <w:bookmarkEnd w:id="52"/>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Căn cứ thông báo của cơ quan có thẩm quyền tổ chức thi nâng ngạch công chức, việc bổ nhiệm ngạch đối với công chức trúng tuyển kỳ thi nâng ngạch được thực hiện như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Đối với kỳ thi nâng ngạch lên cán sự, chuyên viên, chuyên viên chính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Người đứng đầu cơ quan quản lý công chức quyết định bổ nhiệm ngạch và báo cáo kết quả theo mẫu số 4 ban hành kèm theo Thông tư này về Bộ Nội vụ hoặc Ban Tổ chức Trung ương để theo dõi theo thẩm quyền.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Đối với kỳ thi nâng ngạch lên chuyên viên cao cấp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Bộ Nội vụ quyết định bổ nhiệm ngạch đối với công chức thuộc các cơ quan nhà nước, đơn vị sự nghiệp của Nhà nước trúng tuyển kỳ thi nâng ngạch chuyên viên cao cấp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Ban Tổ chức Trung ương quyết định bổ nhiệm ngạch đối với công chức thuộc các cơ quan, đơn vị sự nghiệp của Đảng Cộng sản Việt Nam, tổ chức chính trị - xã hội trúng tuyển kỳ thi nâng ngạch chuyên viên cao cấp hoặc tương đương.</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2. Việc xếp lương đối với công chức được bổ nhiệm vào ngạch mới sau khi trúng tuyển kỳ thi nâng ngạch thực hiện theo quy định tại Thông tư số </w:t>
      </w:r>
      <w:hyperlink r:id="rId16" w:tgtFrame="_blank" w:tooltip="Thông tư 02/2007/TT-BNV" w:history="1">
        <w:r>
          <w:rPr>
            <w:rStyle w:val="Hyperlink"/>
            <w:rFonts w:ascii="Arial" w:hAnsi="Arial" w:cs="Arial"/>
            <w:color w:val="0E70C3"/>
            <w:sz w:val="18"/>
            <w:szCs w:val="18"/>
            <w:u w:val="none"/>
          </w:rPr>
          <w:t>02/2007/TT-BNV</w:t>
        </w:r>
      </w:hyperlink>
      <w:r>
        <w:rPr>
          <w:rFonts w:ascii="Arial" w:hAnsi="Arial" w:cs="Arial"/>
          <w:color w:val="000000"/>
          <w:sz w:val="18"/>
          <w:szCs w:val="18"/>
        </w:rPr>
        <w:t> ngày 25 tháng 5 năm 2007 của Bộ Nội vụ hướng dẫn xếp lương khi nâng ngạch, chuyển ngạch, chuyển loại công chức, viên chức.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3" w:name="chuong_3"/>
      <w:r>
        <w:rPr>
          <w:rFonts w:ascii="Arial" w:hAnsi="Arial" w:cs="Arial"/>
          <w:b/>
          <w:bCs/>
          <w:color w:val="000000"/>
          <w:sz w:val="18"/>
          <w:szCs w:val="18"/>
        </w:rPr>
        <w:t>Chương 3</w:t>
      </w:r>
      <w:bookmarkEnd w:id="53"/>
      <w:r>
        <w:rPr>
          <w:rFonts w:ascii="Arial" w:hAnsi="Arial" w:cs="Arial"/>
          <w:b/>
          <w:bCs/>
          <w:color w:val="000000"/>
          <w:sz w:val="18"/>
          <w:szCs w:val="18"/>
        </w:rPr>
        <w:t>.</w:t>
      </w:r>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4" w:name="chuong_3_name"/>
      <w:r>
        <w:rPr>
          <w:rFonts w:ascii="Arial" w:hAnsi="Arial" w:cs="Arial"/>
          <w:b/>
          <w:bCs/>
          <w:color w:val="000000"/>
        </w:rPr>
        <w:t>ĐIỀU KHOẢN THI HÀNH</w:t>
      </w:r>
      <w:bookmarkEnd w:id="54"/>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5" w:name="dieu_19"/>
      <w:r>
        <w:rPr>
          <w:rFonts w:ascii="Arial" w:hAnsi="Arial" w:cs="Arial"/>
          <w:b/>
          <w:bCs/>
          <w:color w:val="000000"/>
          <w:sz w:val="18"/>
          <w:szCs w:val="18"/>
          <w:shd w:val="clear" w:color="auto" w:fill="FFFF96"/>
        </w:rPr>
        <w:t>Điều 19. Điều khoản chuyển tiếp về thi nâng ngạch công chức</w:t>
      </w:r>
      <w:bookmarkEnd w:id="55"/>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Đối với các kỳ thi nâng ngạch chưa đủ điều kiện thực hiện theo nguyên tắc cạnh tranh quy định tại Điều 14 Thông tư này thì cơ quan có thẩm quyền tổ chức thi nâng ngạch công chức tổ chức thi nâng ngạch công chức theo hướng dẫn tại phụ lục số 5 ban hành kèm theo Thông tư này.</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6" w:name="dieu_20"/>
      <w:r>
        <w:rPr>
          <w:rFonts w:ascii="Arial" w:hAnsi="Arial" w:cs="Arial"/>
          <w:b/>
          <w:bCs/>
          <w:color w:val="000000"/>
          <w:sz w:val="18"/>
          <w:szCs w:val="18"/>
        </w:rPr>
        <w:t>Điều 20. Tổ chức thực hiện</w:t>
      </w:r>
      <w:bookmarkEnd w:id="56"/>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Người đứng đầu cơ quan sử dụng công chức được phân cấp thẩm quyền tuyển dụng chịu trách nhiệm thực hiện việc tuyển dụng công chức theo phân công, phân cấp bảo đảm đúng quy định tại Thông tư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Người đứng đầu cơ quan quản lý công chức chịu trách nhiệm: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Tổ chức thực hiện việc tuyển dụng và nâng ngạch công chức bảo đảm đúng quy định tại Thông tư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Khẩn trương triển khai xác định vị trí việc làm và xây dựng cơ cấu ngạch công chức trong các cơ quan, tổ chức, đơn vị thuộc phạm vi quản lý để làm căn cứ thực hiện việc tuyển dụng và nâng ngạch công chức theo nguyên tắc cạnh tranh.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Bộ Nội vụ hoặc Ban Tổ chức Trung ương chịu trách nhiệm hướng dẫn các cơ quan quản lý công chức theo thẩm quyền quản lý thực hiện việc xây dựng cơ cấu ngạch công chức, xác định vị trí việc làm trong các cơ quan, tổ chức, đơn vị thuộc phạm vi quản lý và tổ chức thực hiện việc tuyển dụng, nâng ngạch công chức theo quy định tại Thông tư này.</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7" w:name="dieu_21"/>
      <w:r>
        <w:rPr>
          <w:rFonts w:ascii="Arial" w:hAnsi="Arial" w:cs="Arial"/>
          <w:b/>
          <w:bCs/>
          <w:color w:val="000000"/>
          <w:sz w:val="18"/>
          <w:szCs w:val="18"/>
        </w:rPr>
        <w:t>Điều 21. Hiệu lực thi hành</w:t>
      </w:r>
      <w:bookmarkEnd w:id="57"/>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Thông tư này có hiệu lực kể từ ngày 15 tháng 02 năm 2011.</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Bãi bỏ các văn bản sau:</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Thông tư số </w:t>
      </w:r>
      <w:hyperlink r:id="rId17" w:tgtFrame="_blank" w:tooltip="Thông tư 08/2004/TT-BNV" w:history="1">
        <w:r>
          <w:rPr>
            <w:rStyle w:val="Hyperlink"/>
            <w:rFonts w:ascii="Arial" w:hAnsi="Arial" w:cs="Arial"/>
            <w:color w:val="0E70C3"/>
            <w:sz w:val="18"/>
            <w:szCs w:val="18"/>
            <w:u w:val="none"/>
          </w:rPr>
          <w:t>08/2004/TT-BNV</w:t>
        </w:r>
      </w:hyperlink>
      <w:r>
        <w:rPr>
          <w:rFonts w:ascii="Arial" w:hAnsi="Arial" w:cs="Arial"/>
          <w:color w:val="000000"/>
          <w:sz w:val="18"/>
          <w:szCs w:val="18"/>
        </w:rPr>
        <w:t> ngày 19 tháng 02 năm 2004 của Bộ Nội vụ hướng dẫn thực hiện Nghị định số </w:t>
      </w:r>
      <w:hyperlink r:id="rId18" w:tgtFrame="_blank" w:tooltip="Nghị định 115/2003/NĐ-CP" w:history="1">
        <w:r>
          <w:rPr>
            <w:rStyle w:val="Hyperlink"/>
            <w:rFonts w:ascii="Arial" w:hAnsi="Arial" w:cs="Arial"/>
            <w:color w:val="0E70C3"/>
            <w:sz w:val="18"/>
            <w:szCs w:val="18"/>
            <w:u w:val="none"/>
          </w:rPr>
          <w:t>115/2003/NĐ-CP</w:t>
        </w:r>
      </w:hyperlink>
      <w:r>
        <w:rPr>
          <w:rFonts w:ascii="Arial" w:hAnsi="Arial" w:cs="Arial"/>
          <w:color w:val="000000"/>
          <w:sz w:val="18"/>
          <w:szCs w:val="18"/>
        </w:rPr>
        <w:t> ngày 10 tháng 10 năm 2003 của Chính phủ về chế độ công chức dự bị;</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 Thông tư số </w:t>
      </w:r>
      <w:hyperlink r:id="rId19" w:tgtFrame="_blank" w:tooltip="Thông tư 09/2004/TT-BNV" w:history="1">
        <w:r>
          <w:rPr>
            <w:rStyle w:val="Hyperlink"/>
            <w:rFonts w:ascii="Arial" w:hAnsi="Arial" w:cs="Arial"/>
            <w:color w:val="0E70C3"/>
            <w:sz w:val="18"/>
            <w:szCs w:val="18"/>
            <w:u w:val="none"/>
          </w:rPr>
          <w:t>09/2004/TT-BNV</w:t>
        </w:r>
      </w:hyperlink>
      <w:r>
        <w:rPr>
          <w:rFonts w:ascii="Arial" w:hAnsi="Arial" w:cs="Arial"/>
          <w:color w:val="000000"/>
          <w:sz w:val="18"/>
          <w:szCs w:val="18"/>
        </w:rPr>
        <w:t> ngày 19 tháng 02 năm 2004 của Bộ Nội vụ hướng dẫn thực hiện một số điều của Nghị định số </w:t>
      </w:r>
      <w:hyperlink r:id="rId20" w:tgtFrame="_blank" w:tooltip="Nghị định 117/2003/NĐ-CP" w:history="1">
        <w:r>
          <w:rPr>
            <w:rStyle w:val="Hyperlink"/>
            <w:rFonts w:ascii="Arial" w:hAnsi="Arial" w:cs="Arial"/>
            <w:color w:val="0E70C3"/>
            <w:sz w:val="18"/>
            <w:szCs w:val="18"/>
            <w:u w:val="none"/>
          </w:rPr>
          <w:t>117/2003/NĐ-CP</w:t>
        </w:r>
      </w:hyperlink>
      <w:r>
        <w:rPr>
          <w:rFonts w:ascii="Arial" w:hAnsi="Arial" w:cs="Arial"/>
          <w:color w:val="000000"/>
          <w:sz w:val="18"/>
          <w:szCs w:val="18"/>
        </w:rPr>
        <w:t> ngày 10 tháng 10 năm 2003 của Chính phủ về tuyển dụng, sử dụng và quản lý công chức trong các cơ quan nhà nước;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lastRenderedPageBreak/>
        <w:t>c) Thông tư số </w:t>
      </w:r>
      <w:hyperlink r:id="rId21" w:tgtFrame="_blank" w:tooltip="Thông tư 06/2007/TT-BNV" w:history="1">
        <w:r>
          <w:rPr>
            <w:rStyle w:val="Hyperlink"/>
            <w:rFonts w:ascii="Arial" w:hAnsi="Arial" w:cs="Arial"/>
            <w:color w:val="0E70C3"/>
            <w:sz w:val="18"/>
            <w:szCs w:val="18"/>
            <w:u w:val="none"/>
          </w:rPr>
          <w:t>06/2007/TT-BNV</w:t>
        </w:r>
      </w:hyperlink>
      <w:r>
        <w:rPr>
          <w:rFonts w:ascii="Arial" w:hAnsi="Arial" w:cs="Arial"/>
          <w:color w:val="000000"/>
          <w:sz w:val="18"/>
          <w:szCs w:val="18"/>
        </w:rPr>
        <w:t> ngày 04 tháng 7 năm 2007 của Bộ Nội vụ hướng dẫn thực hiện Nghị định số </w:t>
      </w:r>
      <w:hyperlink r:id="rId22" w:tgtFrame="_blank" w:tooltip="Nghị định 08/2007/NĐ-CP" w:history="1">
        <w:r>
          <w:rPr>
            <w:rStyle w:val="Hyperlink"/>
            <w:rFonts w:ascii="Arial" w:hAnsi="Arial" w:cs="Arial"/>
            <w:color w:val="0E70C3"/>
            <w:sz w:val="18"/>
            <w:szCs w:val="18"/>
            <w:u w:val="none"/>
          </w:rPr>
          <w:t>08/2007/NĐ-CP</w:t>
        </w:r>
      </w:hyperlink>
      <w:r>
        <w:rPr>
          <w:rFonts w:ascii="Arial" w:hAnsi="Arial" w:cs="Arial"/>
          <w:color w:val="000000"/>
          <w:sz w:val="18"/>
          <w:szCs w:val="18"/>
        </w:rPr>
        <w:t> ngày 15 tháng 01 năm 2007 của Chính phủ sửa đổi, bổ sung một số điều của Nghị định số </w:t>
      </w:r>
      <w:hyperlink r:id="rId23" w:tgtFrame="_blank" w:tooltip="Nghị định 115/2003/NĐ-CP" w:history="1">
        <w:r>
          <w:rPr>
            <w:rStyle w:val="Hyperlink"/>
            <w:rFonts w:ascii="Arial" w:hAnsi="Arial" w:cs="Arial"/>
            <w:color w:val="0E70C3"/>
            <w:sz w:val="18"/>
            <w:szCs w:val="18"/>
            <w:u w:val="none"/>
          </w:rPr>
          <w:t>115/2003/NĐ-CP</w:t>
        </w:r>
      </w:hyperlink>
      <w:r>
        <w:rPr>
          <w:rFonts w:ascii="Arial" w:hAnsi="Arial" w:cs="Arial"/>
          <w:color w:val="000000"/>
          <w:sz w:val="18"/>
          <w:szCs w:val="18"/>
        </w:rPr>
        <w:t> ngày 10 tháng 10 năm 2003 của Chính phủ về chế độ công chức dự bị và hướng dẫn một số điều của Nghị định số </w:t>
      </w:r>
      <w:hyperlink r:id="rId24" w:tgtFrame="_blank" w:tooltip="Nghị định 115/2003/NĐ-CP" w:history="1">
        <w:r>
          <w:rPr>
            <w:rStyle w:val="Hyperlink"/>
            <w:rFonts w:ascii="Arial" w:hAnsi="Arial" w:cs="Arial"/>
            <w:color w:val="0E70C3"/>
            <w:sz w:val="18"/>
            <w:szCs w:val="18"/>
            <w:u w:val="none"/>
          </w:rPr>
          <w:t>115/2003/NĐ-CP</w:t>
        </w:r>
      </w:hyperlink>
      <w:r>
        <w:rPr>
          <w:rFonts w:ascii="Arial" w:hAnsi="Arial" w:cs="Arial"/>
          <w:color w:val="000000"/>
          <w:sz w:val="18"/>
          <w:szCs w:val="18"/>
        </w:rPr>
        <w:t> ngày 10 tháng 10 năm 2003 của Chính phủ;</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d) Thông tư số </w:t>
      </w:r>
      <w:hyperlink r:id="rId25" w:tgtFrame="_blank" w:tooltip="Thông tư 07/2007/TT-BNV" w:history="1">
        <w:r>
          <w:rPr>
            <w:rStyle w:val="Hyperlink"/>
            <w:rFonts w:ascii="Arial" w:hAnsi="Arial" w:cs="Arial"/>
            <w:color w:val="0E70C3"/>
            <w:sz w:val="18"/>
            <w:szCs w:val="18"/>
            <w:u w:val="none"/>
          </w:rPr>
          <w:t>07/2007/TT-BNV</w:t>
        </w:r>
      </w:hyperlink>
      <w:r>
        <w:rPr>
          <w:rFonts w:ascii="Arial" w:hAnsi="Arial" w:cs="Arial"/>
          <w:color w:val="000000"/>
          <w:sz w:val="18"/>
          <w:szCs w:val="18"/>
        </w:rPr>
        <w:t> ngày 04 tháng 7 năm 2007 của Bộ Nội vụ hướng dẫn thực hiện Nghị định số </w:t>
      </w:r>
      <w:hyperlink r:id="rId26" w:tgtFrame="_blank" w:tooltip="Nghị định 09/2007/NĐ-CP" w:history="1">
        <w:r>
          <w:rPr>
            <w:rStyle w:val="Hyperlink"/>
            <w:rFonts w:ascii="Arial" w:hAnsi="Arial" w:cs="Arial"/>
            <w:color w:val="0E70C3"/>
            <w:sz w:val="18"/>
            <w:szCs w:val="18"/>
            <w:u w:val="none"/>
          </w:rPr>
          <w:t>09/2007/NĐ-CP</w:t>
        </w:r>
      </w:hyperlink>
      <w:r>
        <w:rPr>
          <w:rFonts w:ascii="Arial" w:hAnsi="Arial" w:cs="Arial"/>
          <w:color w:val="000000"/>
          <w:sz w:val="18"/>
          <w:szCs w:val="18"/>
        </w:rPr>
        <w:t> ngày 15 tháng 01 năm 2007 của Chính phủ sửa đổi, bổ sung một số điều của Nghị định số </w:t>
      </w:r>
      <w:hyperlink r:id="rId27" w:tgtFrame="_blank" w:tooltip="Nghị định 117/2003/NĐ-CP" w:history="1">
        <w:r>
          <w:rPr>
            <w:rStyle w:val="Hyperlink"/>
            <w:rFonts w:ascii="Arial" w:hAnsi="Arial" w:cs="Arial"/>
            <w:color w:val="0E70C3"/>
            <w:sz w:val="18"/>
            <w:szCs w:val="18"/>
            <w:u w:val="none"/>
          </w:rPr>
          <w:t>117/2003/NĐ-CP</w:t>
        </w:r>
      </w:hyperlink>
      <w:r>
        <w:rPr>
          <w:rFonts w:ascii="Arial" w:hAnsi="Arial" w:cs="Arial"/>
          <w:color w:val="000000"/>
          <w:sz w:val="18"/>
          <w:szCs w:val="18"/>
        </w:rPr>
        <w:t> ngày 10 tháng 10 năm 2003 của Chính phủ về tuyển dụng, sử dụng và quản lý cán bộ, công chức trong các cơ quan nhà nước và hướng dẫn một số điều của Nghị định số </w:t>
      </w:r>
      <w:hyperlink r:id="rId28" w:tgtFrame="_blank" w:tooltip="Nghị định 117/2003/NĐ-CP" w:history="1">
        <w:r>
          <w:rPr>
            <w:rStyle w:val="Hyperlink"/>
            <w:rFonts w:ascii="Arial" w:hAnsi="Arial" w:cs="Arial"/>
            <w:color w:val="0E70C3"/>
            <w:sz w:val="18"/>
            <w:szCs w:val="18"/>
            <w:u w:val="none"/>
          </w:rPr>
          <w:t>117/2003/NĐ-CP</w:t>
        </w:r>
      </w:hyperlink>
      <w:r>
        <w:rPr>
          <w:rFonts w:ascii="Arial" w:hAnsi="Arial" w:cs="Arial"/>
          <w:color w:val="000000"/>
          <w:sz w:val="18"/>
          <w:szCs w:val="18"/>
        </w:rPr>
        <w:t> ngày 10 tháng 10 năm 2003 của Chính phủ.</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Bãi bỏ các quy định áp dụng đối với công chức tại các văn bản sau:</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a) Quyết định số </w:t>
      </w:r>
      <w:hyperlink r:id="rId29" w:tgtFrame="_blank" w:tooltip="Quyết định 10/2006/QĐ-BNV" w:history="1">
        <w:r>
          <w:rPr>
            <w:rStyle w:val="Hyperlink"/>
            <w:rFonts w:ascii="Arial" w:hAnsi="Arial" w:cs="Arial"/>
            <w:color w:val="0E70C3"/>
            <w:sz w:val="18"/>
            <w:szCs w:val="18"/>
            <w:u w:val="none"/>
          </w:rPr>
          <w:t>10/2006/QĐ-BNV</w:t>
        </w:r>
      </w:hyperlink>
      <w:r>
        <w:rPr>
          <w:rFonts w:ascii="Arial" w:hAnsi="Arial" w:cs="Arial"/>
          <w:color w:val="000000"/>
          <w:sz w:val="18"/>
          <w:szCs w:val="18"/>
        </w:rPr>
        <w:t> ngày 05 tháng 10 năm 2006 của Bộ trưởng Bộ Nội vụ về việc ban hành Quy chế tổ chức thi tuyển, thi nâng ngạch đối với cán bộ, công chức;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b) Quyết định số </w:t>
      </w:r>
      <w:hyperlink r:id="rId30" w:tgtFrame="_blank" w:tooltip="Quyết định 12/2006/QĐ-BNV" w:history="1">
        <w:r>
          <w:rPr>
            <w:rStyle w:val="Hyperlink"/>
            <w:rFonts w:ascii="Arial" w:hAnsi="Arial" w:cs="Arial"/>
            <w:color w:val="0E70C3"/>
            <w:sz w:val="18"/>
            <w:szCs w:val="18"/>
            <w:u w:val="none"/>
          </w:rPr>
          <w:t>12/2006/QĐ-BNV</w:t>
        </w:r>
      </w:hyperlink>
      <w:r>
        <w:rPr>
          <w:rFonts w:ascii="Arial" w:hAnsi="Arial" w:cs="Arial"/>
          <w:color w:val="000000"/>
          <w:sz w:val="18"/>
          <w:szCs w:val="18"/>
        </w:rPr>
        <w:t> ngày 05 tháng 10 năm 2006 của Bộ trưởng Bộ Nội vụ về việc ban hành Nội quy kỳ thi tuyển, thi nâng ngạch đối với cán bộ, công chức;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 Thông tư số </w:t>
      </w:r>
      <w:hyperlink r:id="rId31" w:tgtFrame="_blank" w:tooltip="Thông tư 07/2008/TT-BNV" w:history="1">
        <w:r>
          <w:rPr>
            <w:rStyle w:val="Hyperlink"/>
            <w:rFonts w:ascii="Arial" w:hAnsi="Arial" w:cs="Arial"/>
            <w:color w:val="0E70C3"/>
            <w:sz w:val="18"/>
            <w:szCs w:val="18"/>
            <w:u w:val="none"/>
          </w:rPr>
          <w:t>07/2008/TT-BNV</w:t>
        </w:r>
      </w:hyperlink>
      <w:r>
        <w:rPr>
          <w:rFonts w:ascii="Arial" w:hAnsi="Arial" w:cs="Arial"/>
          <w:color w:val="000000"/>
          <w:sz w:val="18"/>
          <w:szCs w:val="18"/>
        </w:rPr>
        <w:t> ngày 04 tháng 9 năm 2008 của Bộ Nội vụ hướng dẫn thực hiện một số quy định về thi nâng ngạch công chức.</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8" w:name="dieu_22"/>
      <w:r>
        <w:rPr>
          <w:rFonts w:ascii="Arial" w:hAnsi="Arial" w:cs="Arial"/>
          <w:b/>
          <w:bCs/>
          <w:color w:val="000000"/>
          <w:sz w:val="18"/>
          <w:szCs w:val="18"/>
        </w:rPr>
        <w:t>Điều 22. Trách nhiệm thi hành</w:t>
      </w:r>
      <w:bookmarkEnd w:id="58"/>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Các Bộ trưởng, Thủ trưởng cơ quan ngang Bộ, Thủ trưởng cơ quan thuộc Chính phủ, Chủ tịch Ủy ban nhân dân tỉnh, thành phố trực thuộc Trung ương và các cơ quan, tổ chức, cá nhân có liên quan chịu trách nhiệm thi hành Thông tư này.</w:t>
      </w:r>
    </w:p>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249"/>
        <w:gridCol w:w="4273"/>
      </w:tblGrid>
      <w:tr w:rsidR="007413DD" w:rsidTr="007413DD">
        <w:trPr>
          <w:tblCellSpacing w:w="0" w:type="dxa"/>
        </w:trPr>
        <w:tc>
          <w:tcPr>
            <w:tcW w:w="442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rPr>
                <w:b/>
                <w:bCs/>
                <w:i/>
                <w:iCs/>
              </w:rPr>
              <w:t> </w:t>
            </w:r>
          </w:p>
          <w:p w:rsidR="007413DD" w:rsidRDefault="007413DD">
            <w:pPr>
              <w:pStyle w:val="NormalWeb"/>
              <w:spacing w:before="120" w:beforeAutospacing="0" w:after="120" w:afterAutospacing="0" w:line="234" w:lineRule="atLeast"/>
            </w:pPr>
            <w:r>
              <w:rPr>
                <w:b/>
                <w:bCs/>
                <w:i/>
                <w:iCs/>
              </w:rPr>
              <w:t>Nơi nhận:</w:t>
            </w:r>
            <w:r>
              <w:rPr>
                <w:sz w:val="16"/>
                <w:szCs w:val="16"/>
              </w:rPr>
              <w:br/>
              <w:t>- Thủ tướng, các Phó Thủ tướng Chính phủ;</w:t>
            </w:r>
            <w:r>
              <w:rPr>
                <w:sz w:val="16"/>
                <w:szCs w:val="16"/>
              </w:rPr>
              <w:br/>
              <w:t>- Các Bộ, cơ quan ngang Bộ, cơ quan thuộc Chính phủ;</w:t>
            </w:r>
            <w:r>
              <w:rPr>
                <w:sz w:val="16"/>
                <w:szCs w:val="16"/>
              </w:rPr>
              <w:br/>
              <w:t>- HĐND, UBND các tỉnh, Thành phố trực thuộc TW;</w:t>
            </w:r>
            <w:r>
              <w:rPr>
                <w:sz w:val="16"/>
                <w:szCs w:val="16"/>
              </w:rPr>
              <w:br/>
              <w:t>- Văn phòng Trung ương và các Ban của Đảng;</w:t>
            </w:r>
            <w:r>
              <w:rPr>
                <w:sz w:val="16"/>
                <w:szCs w:val="16"/>
              </w:rPr>
              <w:br/>
              <w:t>- Văn phòng Quốc hội;</w:t>
            </w:r>
            <w:r>
              <w:rPr>
                <w:sz w:val="16"/>
                <w:szCs w:val="16"/>
              </w:rPr>
              <w:br/>
              <w:t>- Văn phòng Chủ tịch nước;</w:t>
            </w:r>
            <w:r>
              <w:rPr>
                <w:sz w:val="16"/>
                <w:szCs w:val="16"/>
              </w:rPr>
              <w:br/>
              <w:t>- Viện Kiểm sát nhân dân tối cao;</w:t>
            </w:r>
            <w:r>
              <w:rPr>
                <w:sz w:val="16"/>
                <w:szCs w:val="16"/>
              </w:rPr>
              <w:br/>
              <w:t>- Tòa án nhân dân tối cao;</w:t>
            </w:r>
            <w:r>
              <w:rPr>
                <w:sz w:val="16"/>
                <w:szCs w:val="16"/>
              </w:rPr>
              <w:br/>
              <w:t>- Văn phòng BCĐTW về phòng, chống tham nhũng;</w:t>
            </w:r>
            <w:r>
              <w:rPr>
                <w:sz w:val="16"/>
                <w:szCs w:val="16"/>
              </w:rPr>
              <w:br/>
              <w:t>- Kiểm toán Nhà nước;</w:t>
            </w:r>
            <w:r>
              <w:rPr>
                <w:sz w:val="16"/>
                <w:szCs w:val="16"/>
              </w:rPr>
              <w:br/>
              <w:t>- Ủy ban TW Mặt trận Tổ quốc Việt Nam;</w:t>
            </w:r>
            <w:r>
              <w:rPr>
                <w:sz w:val="16"/>
                <w:szCs w:val="16"/>
              </w:rPr>
              <w:br/>
              <w:t>- Cơ quan Trung ương của các đoàn thể;</w:t>
            </w:r>
            <w:r>
              <w:rPr>
                <w:sz w:val="16"/>
                <w:szCs w:val="16"/>
              </w:rPr>
              <w:br/>
              <w:t>- Cục Kiểm tra văn bản QPPL (Bộ Tư pháp);</w:t>
            </w:r>
            <w:r>
              <w:rPr>
                <w:sz w:val="16"/>
                <w:szCs w:val="16"/>
              </w:rPr>
              <w:br/>
              <w:t>- Sở Nội vụ các tỉnh, thành phố trực thuộc TW;</w:t>
            </w:r>
            <w:r>
              <w:rPr>
                <w:sz w:val="16"/>
                <w:szCs w:val="16"/>
              </w:rPr>
              <w:br/>
              <w:t>- Công báo, Website Chính phủ;</w:t>
            </w:r>
            <w:r>
              <w:rPr>
                <w:sz w:val="16"/>
                <w:szCs w:val="16"/>
              </w:rPr>
              <w:br/>
              <w:t>- Bộ Nội vụ: Bộ trưởng, các Thứ trưởng, Vụ Pháp chế và các Vụ, Cục, tổ chức thuộc Bộ;</w:t>
            </w:r>
            <w:r>
              <w:rPr>
                <w:sz w:val="16"/>
                <w:szCs w:val="16"/>
              </w:rPr>
              <w:br/>
              <w:t>- Trang thông tin điện tử thuộc Bộ;</w:t>
            </w:r>
            <w:r>
              <w:rPr>
                <w:sz w:val="16"/>
                <w:szCs w:val="16"/>
              </w:rPr>
              <w:br/>
              <w:t>- Lưu: VT, CCVC.</w:t>
            </w:r>
          </w:p>
        </w:tc>
        <w:tc>
          <w:tcPr>
            <w:tcW w:w="442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b/>
                <w:bCs/>
              </w:rPr>
              <w:t>BỘ TRƯỞNG</w:t>
            </w:r>
            <w:r>
              <w:rPr>
                <w:b/>
                <w:bCs/>
              </w:rPr>
              <w:br/>
            </w:r>
            <w:r>
              <w:rPr>
                <w:b/>
                <w:bCs/>
              </w:rPr>
              <w:br/>
            </w:r>
            <w:r>
              <w:rPr>
                <w:b/>
                <w:bCs/>
              </w:rPr>
              <w:br/>
            </w:r>
            <w:r>
              <w:rPr>
                <w:b/>
                <w:bCs/>
              </w:rPr>
              <w:br/>
            </w:r>
            <w:r>
              <w:rPr>
                <w:b/>
                <w:bCs/>
              </w:rPr>
              <w:br/>
              <w:t>Trần Văn Tuấn</w:t>
            </w:r>
          </w:p>
        </w:tc>
      </w:tr>
    </w:tbl>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413DD" w:rsidRDefault="007413DD" w:rsidP="007413D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59" w:name="loai_phuluc1"/>
      <w:r>
        <w:rPr>
          <w:rFonts w:ascii="Arial" w:hAnsi="Arial" w:cs="Arial"/>
          <w:b/>
          <w:bCs/>
          <w:color w:val="000000"/>
          <w:sz w:val="18"/>
          <w:szCs w:val="18"/>
        </w:rPr>
        <w:t>Phụ lục số 1</w:t>
      </w:r>
      <w:bookmarkEnd w:id="59"/>
    </w:p>
    <w:p w:rsidR="007413DD" w:rsidRDefault="007413DD" w:rsidP="007413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7413DD" w:rsidRDefault="007413DD" w:rsidP="007413DD">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 ….. tháng ….. năm 20……</w:t>
      </w:r>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0" w:name="loai_phuluc1_name"/>
      <w:r>
        <w:rPr>
          <w:rFonts w:ascii="Arial" w:hAnsi="Arial" w:cs="Arial"/>
          <w:b/>
          <w:bCs/>
          <w:color w:val="000000"/>
          <w:sz w:val="18"/>
          <w:szCs w:val="18"/>
        </w:rPr>
        <w:t>ĐƠN ĐĂNG KÝ DỰ TUYỂN CÔNG CHỨC</w:t>
      </w:r>
      <w:bookmarkEnd w:id="60"/>
    </w:p>
    <w:p w:rsidR="007413DD" w:rsidRDefault="007413DD" w:rsidP="007413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r>
        <w:rPr>
          <w:rFonts w:ascii="Arial" w:hAnsi="Arial" w:cs="Arial"/>
          <w:i/>
          <w:iCs/>
          <w:color w:val="000000"/>
          <w:sz w:val="18"/>
          <w:szCs w:val="18"/>
        </w:rPr>
        <w:t>Ban hành kèm theo Thông tư số 13/2010/TT-BNV ngày 30 tháng 12 năm 2010 của Bộ Nội vụ</w:t>
      </w:r>
      <w:r>
        <w:rPr>
          <w:rFonts w:ascii="Arial" w:hAnsi="Arial" w:cs="Arial"/>
          <w:color w:val="000000"/>
          <w:sz w:val="18"/>
          <w:szCs w:val="18"/>
        </w:rPr>
        <w: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lastRenderedPageBreak/>
        <w:t>Họ và tên:                                                                        Nam, nữ:</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Ngày sinh: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Quê quán: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Hộ khẩu thường trú:</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Chỗ ở hiện nay: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Điện thoại liên lạc: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Dân tộc: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Trình độ và chuyên ngành đào tạo: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Đối tượng ưu tiên (nếu có): (1)</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Sau khi nghiên cứu điều kiện đăng ký dự tuyển công chức của …………… (2), tôi thấy có đủ điều kiện để tham dự kỳ thi tuyển (hoặc xét tuyển) công chức. Vì vậy, tôi làm đơn này đăng ký dự tuyển công chức theo thông báo của quý cơ quan.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Nếu trúng tuyển tôi sẽ chấp hành các quy định của Nhà nước và của cơ quan có thẩm quyền tuyển dụng.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Tôi gửi kèm theo đơn này hồ sơ dự tuyển, gồm: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1. Bản sơ yếu lý lịch tự thuật;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Bản sao giấy khai sinh;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Bản chụp các văn bằng, chứng chỉ và kết quả học tập, gồm: …………… (3)</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Giấy chứng nhận sức khỏe do cơ quan y tế có thẩm quyền cấp;</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5. 2 phong bì ghi rõ địa chỉ liên lạc, 2 ảnh cỡ 4 x 6.</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Tôi cam đoan hồ sơ dự tuyển của tôi là đúng sự thật, sau khi nhận được thông báo trúng tuyển tôi sẽ hoàn thiện đủ hồ sơ dự tuyển theo quy định. Nếu sai sự thật thì kết quả tuyển dụng của tôi sẽ bị cơ quan có thẩm quyền tuyển dụng hủy bỏ và tôi sẽ chịu trách nhiệm trước pháp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w:t>
      </w:r>
    </w:p>
    <w:tbl>
      <w:tblPr>
        <w:tblW w:w="8850" w:type="dxa"/>
        <w:tblCellSpacing w:w="0" w:type="dxa"/>
        <w:tblCellMar>
          <w:left w:w="0" w:type="dxa"/>
          <w:right w:w="0" w:type="dxa"/>
        </w:tblCellMar>
        <w:tblLook w:val="04A0" w:firstRow="1" w:lastRow="0" w:firstColumn="1" w:lastColumn="0" w:noHBand="0" w:noVBand="1"/>
      </w:tblPr>
      <w:tblGrid>
        <w:gridCol w:w="4425"/>
        <w:gridCol w:w="4425"/>
      </w:tblGrid>
      <w:tr w:rsidR="007413DD" w:rsidTr="007413DD">
        <w:trPr>
          <w:tblCellSpacing w:w="0" w:type="dxa"/>
        </w:trPr>
        <w:tc>
          <w:tcPr>
            <w:tcW w:w="442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442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Kính đơn</w:t>
            </w:r>
            <w:r>
              <w:br/>
              <w:t>(Ký và ghi rõ họ tên)</w:t>
            </w:r>
          </w:p>
        </w:tc>
      </w:tr>
    </w:tbl>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Ghi chú:</w:t>
      </w:r>
    </w:p>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Ghi rõ đối tượng ưu tiên theo quy định;</w:t>
      </w:r>
    </w:p>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Ghi đúng tên cơ quan, tổ chức, đơn vị có thông báo tuyển dụng công chức;</w:t>
      </w:r>
    </w:p>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Ghi rõ tên của các bản chụp gửi kèm đơn đăng ký dự tuyển công chức.</w:t>
      </w:r>
    </w:p>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7413DD" w:rsidRDefault="007413DD" w:rsidP="007413D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61" w:name="loai_phuluc2"/>
      <w:r>
        <w:rPr>
          <w:rFonts w:ascii="Arial" w:hAnsi="Arial" w:cs="Arial"/>
          <w:b/>
          <w:bCs/>
          <w:color w:val="000000"/>
          <w:sz w:val="18"/>
          <w:szCs w:val="18"/>
        </w:rPr>
        <w:t>Phụ lục số 2</w:t>
      </w:r>
      <w:bookmarkEnd w:id="61"/>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2" w:name="loai_phuluc2_name"/>
      <w:r>
        <w:rPr>
          <w:rFonts w:ascii="Arial" w:hAnsi="Arial" w:cs="Arial"/>
          <w:b/>
          <w:bCs/>
          <w:color w:val="000000"/>
        </w:rPr>
        <w:t>QUY CHẾ</w:t>
      </w:r>
      <w:bookmarkEnd w:id="62"/>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3" w:name="loai_phuluc2_name_name"/>
      <w:r>
        <w:rPr>
          <w:rFonts w:ascii="Arial" w:hAnsi="Arial" w:cs="Arial"/>
          <w:color w:val="000000"/>
          <w:sz w:val="18"/>
          <w:szCs w:val="18"/>
        </w:rPr>
        <w:t>TỔ CHỨC THI TUYỂN, XÉT TUYỂN CÔNG CHỨC</w:t>
      </w:r>
      <w:r>
        <w:rPr>
          <w:rFonts w:ascii="Arial" w:hAnsi="Arial" w:cs="Arial"/>
          <w:color w:val="000000"/>
          <w:sz w:val="18"/>
          <w:szCs w:val="18"/>
        </w:rPr>
        <w:br/>
      </w:r>
      <w:bookmarkEnd w:id="63"/>
      <w:r>
        <w:rPr>
          <w:rFonts w:ascii="Arial" w:hAnsi="Arial" w:cs="Arial"/>
          <w:color w:val="000000"/>
          <w:sz w:val="18"/>
          <w:szCs w:val="18"/>
        </w:rPr>
        <w:t>(</w:t>
      </w:r>
      <w:r>
        <w:rPr>
          <w:rFonts w:ascii="Arial" w:hAnsi="Arial" w:cs="Arial"/>
          <w:i/>
          <w:iCs/>
          <w:color w:val="000000"/>
          <w:sz w:val="18"/>
          <w:szCs w:val="18"/>
        </w:rPr>
        <w:t>Ban hành kèm theo Thông tư số 13/2010/TT-BNV ngày 30 tháng 12 năm 2010 của Bộ Nội vụ</w:t>
      </w:r>
      <w:r>
        <w:rPr>
          <w:rFonts w:ascii="Arial" w:hAnsi="Arial" w:cs="Arial"/>
          <w:color w:val="000000"/>
          <w:sz w:val="18"/>
          <w:szCs w:val="18"/>
        </w:rPr>
        <w:t>)</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4" w:name="chuong_1_1"/>
      <w:r>
        <w:rPr>
          <w:rFonts w:ascii="Arial" w:hAnsi="Arial" w:cs="Arial"/>
          <w:b/>
          <w:bCs/>
          <w:color w:val="000000"/>
          <w:sz w:val="18"/>
          <w:szCs w:val="18"/>
        </w:rPr>
        <w:t>Chương 1.</w:t>
      </w:r>
      <w:bookmarkEnd w:id="64"/>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5" w:name="chuong_1_1_name"/>
      <w:r>
        <w:rPr>
          <w:rFonts w:ascii="Arial" w:hAnsi="Arial" w:cs="Arial"/>
          <w:b/>
          <w:bCs/>
          <w:color w:val="000000"/>
        </w:rPr>
        <w:t>THI TUYỂN CÔNG CHỨC</w:t>
      </w:r>
      <w:bookmarkEnd w:id="65"/>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MỤC 1. HỘI ĐỒNG THI TUYỂN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 Hội đồng thi tuyển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Hội đồng thi tuyển công chức (sau đây viết tắt là Hội đồng thi) do người đứng đầu cơ quan có thẩm quyền tuyển dụng công chức quyết định thành lập. Hội đồng thi hoạt động theo từng kỳ thi và tự giải thể sau khi hoàn thành nhiệm vụ.</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lastRenderedPageBreak/>
        <w:t>2. Nhiệm vụ, quyền hạn của Hội đồng thi thực hiện theo quy định tại </w:t>
      </w:r>
      <w:bookmarkStart w:id="66" w:name="dc_24"/>
      <w:r>
        <w:rPr>
          <w:rFonts w:ascii="Arial" w:hAnsi="Arial" w:cs="Arial"/>
          <w:color w:val="000000"/>
          <w:sz w:val="18"/>
          <w:szCs w:val="18"/>
        </w:rPr>
        <w:t>khoản 2 Điều 7 Nghị định số 24/2010/NĐ-CP</w:t>
      </w:r>
      <w:bookmarkEnd w:id="66"/>
      <w:r>
        <w:rPr>
          <w:rFonts w:ascii="Arial" w:hAnsi="Arial" w:cs="Arial"/>
          <w:color w:val="000000"/>
          <w:sz w:val="18"/>
          <w:szCs w:val="18"/>
        </w:rPr>
        <w:t> ngày 15 tháng 3 năm 2010 của Chính phủ quy định về tuyển dụng, sử dụng và quản lý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Hội đồng thi được sử dụng con dấu, tài khoản của cơ quan có thẩm quyền tuyển dụng công chức trong các hoạt động của Hội đồng.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 Nhiệm vụ, quyền hạn của các thành viên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Chủ tịch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Chịu trách nhiệm tổ chức thực hiện các nhiệm vụ của Hội đồng thi theo quy định, chỉ đạo tổ chức kỳ thi bảo đảm đúng nội quy, quy chế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Phân công trách nhiệm cho từng thành viên của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Quyết định thành lập Ban đề thi, Ban coi thi, Ban phách, Ban chấm thi, Ban phúc khảo;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Tổ chức việc xây dựng đề thi, lựa chọn đề thi, bảo quản, lưu giữ đề thi theo đúng quy định; bảo đảm bí mật đề thi theo chế độ tài liệu tuyệt mật;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đ) Tổ chức việc coi thi, quản lý bài thi, đánh số phách, rọc phách, quản lý phách và chấm thi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e) Báo cáo người đứng đầu cơ quan có thẩm quyền tuyển dụng công chức xem xét, quyết định công nhận kết quả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g) Giải quyết khiếu nại, tố cáo trong quá trình tổ chức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Phó Chủ tịch Hội đồng thi: giúp Chủ tịch Hội đồng thi điều hành hoạt động của Hội đồng thi và thực hiện một số nhiệm vụ cụ thể của Hội đồng thi theo sự phân công của Chủ tịch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Các Ủy viên của Hội đồng thi do Chủ tịch Hội đồng thi phân công nhiệm vụ cụ thể để bảo đảm các hoạt động của Hội đồng thi thực hiện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Ủy viên kiêm Thư ký Hội đồng thi giúp Chủ tịch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Chuẩn bị các văn bản, tài liệu cần thiết của Hội đồng thi và ghi biên bản các cuộc họp của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Tổ chức và chuẩn bị các tài liệu để hướng dẫn ôn tập cho thí sinh;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Tổ chức việc thu phí dự thi, quản lý chi tiêu và thanh quyết toán phí dự thi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Nhận và kiểm tra niêm phong bài thi từ Trưởng ban coi thi; bàn giao bài thi cho Trưởng ban phách, nhận bài thi đã rọc phách và đánh số phách từ Trưởng ban phách; bàn giao bài thi đã rọc phách cho Trưởng ban chấm thi và thu bài thi đã có kết quả chấm thi từ Trưởng ban chấm thi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đ) Tổng hợp, báo cáo kết quả thi với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e) Nhận đơn phúc khảo và ghi rõ ngày nhận đơn phúc khảo theo dấu văn thư của cơ quan có thẩm quyền tuyển dụng công chức chuyển đến, kịp thời báo cáo Chủ tịch Hội đồng thi để báo cáo người đứng đầu cơ quan có thẩm quyền tuyển dụng công chức xem xét, quyết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MỤC 2. CÁC BỘ PHẬN GIÚP VIỆC CỦA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3.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Ban coi thi do Chủ tịch Hội đồng thi thành lập, gồm các thành viên: Trưởng ban, Phó trưởng ban và các giám thị.</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Nhiệm vụ, quyền hạn của các thành viên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Trưởng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Giúp Hội đồng thi tổ chức kỳ thi theo đúng quy chế và nội quy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Bố trí phòng thi; phân công nhiệm vụ cho Phó trưởng ban coi thi; phân công giám thị phòng thi và giám thị hành lang cho từng môn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Nhận và bảo quản đề thi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 Tạm đình chỉ việc coi thi của giám thị, kịp thời báo cáo Chủ tịch Hội đồng thi quyết định; đình chỉ thi đối với thí sinh nếu thấy có căn cứ vi phạm nội quy, quy chế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Tổ chức thu bài thi của thí sinh và niêm phong bài thi để bàn giao cho Ủy viên kiêm Thư ký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Phó Trưởng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Giúp Trưởng ban coi thi điều hành một số hoạt động của Ban coi thi theo sự phân công của Trưởng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Giám thị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Mỗi phòng thi được phân công 02 giám thị, trong đó có một giám thị được Trưởng ban coi thi phân công chịu trách nhiệm chính trong việc tổ chức thi tại phòng thi (gọi là giám thị 1). Giám thị 1 phân công nhiệm vụ cụ thể cho các giám thị tại phòng thi. Giám thị phòng thi thực hiện các nhiệm vụ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Kiểm tra phòng thi, đánh số báo danh của thí sinh vào chỗ ngồi tại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Gọi thí sinh vào phòng thi; kiểm tra giấy chứng minh nhân dân (hoặc một trong các loại giấy tờ tùy thân hợp pháp khác) của thí sinh; chỉ cho phép thí sinh mang vào phòng thi những vật dụng theo quy định; hướng dẫn thí sinh ngồi theo đúng vị trí;</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Ký vào giấy làm bài thi và giấy nháp theo quy định; phát giấy thi, giấy nháp cho thí sinh; hướng dẫn thí sinh các quy định về làm bài thi, nội quy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Nhận đề thi; kiểm tra niêm phong đề thi có sự chứng kiến của thí sinh; mở đề thi; đọc đề thi hoặc phát đề thi cho thí sinh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Thực hiện nhiệm vụ coi thi theo nội quy, quy chế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Xử lý các trường hợp vi phạm nội quy thi; lập biên bản và báo cáo Trưởng ban coi thi xem xét, quyết định nếu vi phạm đến mức phải đình chỉ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Thu bài thi theo đúng thời gian quy định; kiểm tra bài thi do thí sinh nộp, bảo đảm đúng họ tên, số báo danh, số tờ; ký biên bản và bàn giao bài thi, đề thi đã nhân bản chưa phát hết cho thí sinh và các biên bản vi phạm (nếu có) cho Trưởng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d) Giám thị hành lang: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 Giữ gìn trật tự và bảo đảm an toàn bên ngoài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 Phát hiện, nhắc nhở, phê bình, cùng giám thị phòng thi lập biên bản thí sinh vi phạm nội quy, quy chế của kỳ thi ở khu vực hành lang. Trường hợp vi phạm nghiêm trọng như gây mất trật tự, an toàn ở khu vực hành lang báo cáo ngay cho Trưởng ban coi thi xem xét, giải quyết;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 Không được vào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3. Tiêu chuẩn giám thị:</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a) Người được cử làm giám thị phải là công chức, viên chức ở ngạch chuyên viên hoặc tương đương trở lên;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b) Không cử làm giám thị đối với những người là cha, mẹ, anh, chị, em ruột của bên vợ hoặc chồng, vợ hoặc chồng của người dự thi và những người đang trong thời gian bị xem xét xử lý kỷ luật hoặc đang thi hành quyết định kỷ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c) Người được cử làm giám thị không được tham gia Ban đề thi và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lang w:val="nl-NL"/>
        </w:rPr>
        <w:t>Điều 4. Ban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lang w:val="nl-NL"/>
        </w:rPr>
        <w:t>1. Ban phách do Chủ tịch Hội đồng thi thành lập gồm các thành viên: Trưởng ban và các ủy viên.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Nhiệm vụ, quyền hạn của các thành viên Ban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Trưởng ban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Giúp Hội đồng thi và phân công nhiệm vụ cụ thể cho các thành viên Ban phách để tổ chức thực hiện việc đánh số phách và rọc phách các bài thi theo đúng quy định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Niêm phong phách và bài thi đã được rọc phách, bàn giao cho Ủy viên kiêm Thư ký Hội đồng thi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b) Ủy viên Ban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Đánh số phách và rọc phách các bài thi theo phân công của Trưởng ban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Bảo đảm bí mật số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Tiêu chuẩn thành viên Ban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Người được cử làm thành viên Ban phách phải là công chức, viên chức đang ở ngạch chuyên viên hoặc tương đương trở lên;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Không cử làm thành viên Ban phách đối với những người là cha, mẹ, anh, chị, em ruột của bên vợ hoặc chồng, vợ hoặc chồng của người dự thi và những người đang trong thời gian bị xem xét xử lý kỷ luật hoặc đang thi hành quyết định kỷ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Người được cử làm thành viên Ban phách không được tham gia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5. Ban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Ban đề thi do Chủ tịch Hội đồng thi thành lập gồm các thành viên: Trưởng ban và các ủy viên.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Nhiệm vụ, quyền hạn của các thành viên Ban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Trưởng ban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Giúp Hội đồng thi tổ chức thực hiện việc xây dựng bộ đề thi hoặc ngân hàng câu hỏi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Giữ bí mật của bộ đề thi hoặc ngân hàng câu hỏi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Ủy viên Ban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Tham gia xây dựng bộ đề thi hoặc ngân hàng câu hỏi theo phân công của Trưởng ban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Giữ bí mật của bộ đề thi hoặc ngân hàng câu hỏi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Tiêu chuẩn thành viên Ban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Người được cử làm thành viên Ban đề thi phải là công chức, viên chức, nhà quản lý, nhà nghiên cứu khoa học, giảng viên có trình độ chuyên môn trên đại học hoặc người có nhiều kinh nghiệm đối với môn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Không cử làm thành viên Ban đề thi đối với những người là cha, mẹ, anh, chị, em ruột của bên vợ hoặc chồng, vợ hoặc chồng của người dự thi và những người đang trong thời gian bị xem xét xử lý kỷ luật hoặc đang thi hành quyết định kỷ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Người được cử làm thành viên Ban đề thi không được tham gia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6.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Ban chấm thi do Chủ tịch Hội đồng thi thành lập gồm các thành viên: Trưởng ban và các ủy viên.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Nhiệm vụ, quyền hạn của các thành viên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Trưởng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Giúp Hội đồng thi tổ chức thực hiện việc chấm thi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Phân công các ủy viên Ban chấm thi bảo đảm nguyên tắc mỗi bài thi viết, thi vấn đáp phải có ít nhất 02 thành viên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Tổ chức trao đổi để thống nhất báo cáo Chủ tịch Hội đồng thi xem xét, phê duyệt đáp án, thang điểm chi tiết của đề thi trước khi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Nhận và phân chia bài thi của thí sinh cho các thành viên Ban chấm thi, bàn giao biên bản chấm thi và kết quả chấm thi cho Ủy viên kiêm Thư ký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Lập biên bản và báo cáo Chủ tịch Hội đồng thi xem xét và giải quyết khi phát hiện bài thi của thí sinh vi phạm nội quy, quy chế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Tổng hợp kết quả chấm thi, bàn giao cho Ủy viên kiêm Thư ký Hội đồng thi. Giữ gìn bí mật kết quả điểm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 Quyết định chấm lại bài thi trong trường hợp các thành viên chấm thi chấm chênh lệch nhau trên 10% so với điểm tối đa đối với cùng một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Ủy viên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Chấm điểm các bài thi theo đúng đáp án và thang điểm;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Báo cáo dấu hiệu vi phạm trong các bài thi với Trưởng ban chấm thi và đề nghị hình thức xử lý.</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Tiêu chuẩn thành viên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Người được cử làm thành viên Ban chấm thi phải là công chức, viên chức, nhà quản lý, nhà nghiên cứu khoa học, giảng viên có trình độ chuyên môn trên đại học hoặc người có nhiều kinh nghiệm đối với môn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Không cử làm thành viên Ban chấm thi đối với những người là cha, mẹ, anh, chị, em ruột của bên vợ hoặc chồng, vợ hoặc chồng của người dự thi và những người đang trong thời gian bị xem xét xử lý kỷ luật hoặc đang thi hành quyết định kỷ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Người được cử làm thành viên Ban chấm thi không được tham gia vào Ban coi thi và Ban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MỤC 3. TỔ CHỨC KỲ THI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7. Công tác chuẩn bị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Trước ngày thi ít nhất 15 ngày, Hội đồng thi gửi thông báo triệu tập thí sinh dự thi, thông báo cụ thể thời gian, địa điểm tổ chức ôn thi (nếu có) và địa điểm tổ chức thi cho các thí sinh có đủ điều kiện dự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Trước ngày thi 01 ngày, Hội đồng thi niêm yết danh sách thí sinh theo số báo danh và theo phòng thi, sơ đồ vị trí các phòng thi, nội quy thi, hình thức thi, thời gian thi đối với từng môn thi tại địa điểm tổ chức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Trước ngày thi ít nhất 01 ngày, Ủy viên kiêm Thư ký Hội đồng thi phải hoàn thành các công tác chuẩn bị cho kỳ thi như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Chuẩn bị các mẫu biểu liên quan đến tổ chức thi, gồm: danh sách thí sinh để gọi vào phòng thi; danh sách để thí sinh ký nộp bài thi; mẫu biên bản giao, nhận đề thi, mẫu biên bản mở đề thi, mẫu biên bản xử lý vi phạm nội quy thi; mẫu biên bản bàn giao bài thi và mẫu biên bản tạm giữ các giấy tờ, vật dụng của thí sinh vi phạm quy chế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Chuẩn bị thẻ cho các thành viên Hội đồng thi, Ban coi thi, Ban giám sát kỳ thi, bộ phận phục vụ kỳ thi. Thẻ của Chủ tịch, Phó Chủ tịch, Ủy viên Hội đồng thi, Trưởng ban coi và Trưởng ban giám sát kỳ thi thì in đầy đủ họ tên và chức danh. Thẻ của các thành viên khác và giám sát viên chỉ in chức danh.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8. Khai mạc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Trước khi bắt đầu kỳ thi phải tổ chức lễ khai mạc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Trình tự tổ chức lễ khai mạc như sau: chào cờ; tuyên bố lý do; giới thiệu đại biểu; công bố quyết định thành lập Hội đồng thi; công bố quyết định tổ chức kỳ thi; công bố quyết định thành lập Ban coi thi, Ban giám sát kỳ thi; Chủ tịch Hội đồng thi tuyên bố khai mạc kỳ thi; phổ biến kế hoạch thi, quy chế thi, nội quy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9. Tổ chức các cuộc họp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Sau lễ khai mạc, Trưởng ban coi thi tổ chức họp Ban coi thi; phổ biến kế hoạch, quy chế, nội quy, nhiệm vụ, quyền hạn, trách nhiệm của các thành viên Ban coi thi; thống nhất các hướng dẫn cần thiết để giám thị thực hiện và hướng dẫn cho thí sinh thực hiện trong quá trình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mỗi môn thi, trước giờ thi 60 phút, Trưởng ban coi thi họp Ban coi thi; phân công giám thị từng phòng thi theo nguyên tắc không lặp lại giám thị phòng thi đối với môn thi khác trên cùng một phòng thi; phổ biến những hướng dẫn và lưu ý cần thiết cho giám thị phòng thi và giám thị hành lang đối với môn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Trường hợp cần thiết, khi kết thúc môn thi, Trưởng ban coi thi tổ chức họp Ban coi thi để rút kinh nghiệm.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10. Cách bố trí, sắp xếp trong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1. Đối với các môn thi theo hình thức thi viết, thi trắc nghiệm: mỗi phòng thi bố trí tối đa 50 thí sinh, mỗi thí sinh ngồi một bàn hoặc ngồi cách nhau ít nhất 1 mét. Trước giờ thi 30 phút, giám thị phòng thi đánh số báo danh của thí sinh tại phòng thi và gọi thí sinh vào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các môn thi theo hình thức thi vấn đáp: phòng thi được bố trí bàn cho các thí sinh chuẩn bị trả lời sau khi bốc thăm ngẫu nhiên câu hỏi và bàn để hỏi thi vấn đáp.</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Đối với môn thi theo hình thức thi thực hành: phòng thi phải được bố trí phù hợp với yêu cầu thực hành. Trường hợp thi thực hành trên máy, phòng thí nghiệm và phương tiện khác thì Hội đồng thi phải chuẩn bị máy, phòng thí nghiệm và phương tiện phù hợp với tình huống để thi thực hành.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11.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Chủ tịch Hội đồng thi chỉ đạo Ban đề thi tổ chức việc xây dựng đề thi, Trưởng ban đề thi trình Chủ tịch Hội đồng thi quyết định lựa chọn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Nội dung đề thi phải căn cứ vào tiêu chuẩn nghiệp vụ của ngạch công chức phù hợp với vị trí việc làm cần tuyển; kết cấu đề thi phải bảo đảm tính chính xác, khoa học. Mỗi đề thi phải có đáp án và thang điểm chi tiết. Đề thi phải được đóng trong phong bì, niêm phong và bảo quản theo chế độ tài liệu tuyệt mật; việc giao nhận, mở đề thi đều phải lập biên bản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Đối với mỗi môn thi bằng hình thức thi viết, phải chuẩn bị ít nhất một đề thi chính thức và một đề thi dự phòng.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Đối với mỗi môn thi bằng hình thức thi trắc nghiệm, phải chuẩn bị ít nhất 02 đề thi chính thức và 02 đề thi dự phòng. Đề thi được nhân bản để phát cho từng thí sinh, thí sinh ngồi gần nhau không được sử dụng đề thi giống nhau.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5. Đối với mỗi môn thi bằng hình thức thi vấn đáp, phải chuẩn bị ít nhất 30 đề thi, được nhân bản để thí sinh bốc thăm ngẫu nhiên.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6. Việc nhân bản đề thi (thi viết, thi trắc nghiệm) do Chủ tịch Hội đồng thi quyết định, bảo đảm hoàn thành trước giờ thi 60 phút. Đề thi sau khi nhân bản được niêm phong và bảo quản theo chế độ tài liệu tuyệt mật. Người tham gia nhân bản đề thi phải được cách ly cho đến khi thí sinh bắt đầu làm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12. Giấy làm bài thi, giấy nháp</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hình thức thi viết, giấy làm bài thi được in sẵn theo mẫu quy định, có chữ ký của 02 giám thị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hình thức thi trắc nghiệm, thí sinh làm bài trực tiếp trên trang dành riêng để làm bài.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Giấy nháp: sử dụng thống nhất một loại giấy nháp do Hội đồng thi phát ra, có chữ ký của giám thị tại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13. Xác nhận tình trạng đề thi và mở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Giám thị phòng thi mời 02 đại diện thí sinh kiểm tra niêm phong phong bì đựng đề thi và ký biên bản xác nhận phong bì đựng đề thi được niêm phong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Trường hợp phong bì đựng đề thi bị mất dấu niêm phong hoặc có dấu hiệu nghi ngờ khác, giám thị phòng thi lập biên bản (có xác nhận của 02 đại diện thí sinh) tại phòng thi; đồng thời thông báo Trưởng ban coi thi để báo cáo Chủ tịch Hội đồng thi xem xét, giải quyết. Trường hợp sau khi đã mở đề thi, nếu phát hiện đề thi có lỗi (đề thi có sai sót, nhầm đề thi, thiếu trang, nhầm trang…) thì giám thị phòng thi (giám thị 1) phải thông báo ngay cho Trưởng ban coi thi để lập biên bản và Trưởng ban coi thi phải báo cáo ngay lên Chủ tịch Hội đồng thi xem xét, giải quyết.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Chỉ có Chủ tịch Hội đồng thi mới có quyền cho phép sử dụng đề thi dự phòng.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14. Cách tính thời gian làm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hình thức thi viết: thời gian bắt đầu làm bài thi được tính từ sau khi giám thị viết xong đề thi lên bảng và đọc lại hết đề thi; trường hợp đề thi đã được nhân bản để phát cho từng thí sinh thì tính từ khi giám thị phát đủ đề thi cho thí sinh và đọc lại hết đề thi. Thời gian làm bài thi được ghi trên đề thi, giám thị phòng thi ghi thời gian bắt đầu và thời gian nộp bài lên bảng trong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hình thức thi trắc nghiệm: thời gian bắt đầu làm bài thi được tính sau 5 phút kể từ khi phát xong đề thi cho thí sinh. Thời gian làm bài được ghi trên đề thi, giám thị phòng thi ghi thời gian bắt đầu và thời gian nộp bài lên bảng trong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3. Đối với hình thức thi vấn đáp: thời gian chuẩn bị và trả lời câu hỏi của mỗi thí sinh tối đa là 30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Đối với hình thức thi thực hành: thời gian làm bài thi thực hiện theo yêu cầu của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15. Thu bài thi và bàn giao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hình thức thi viết và thi trắc nghiệm: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Thu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Khi hết thời gian làm bài thi, giám thị phòng thi yêu cầu thí sinh dừng làm bài và nộp bài thi. Giám thị phòng thi kiểm tra số tờ, số trang của của bài thi của từng thí sinh, ghi vào danh sách nộp bài thi và yêu cầu thí sinh, các giám thị phòng thi ký vào danh sách nộp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Bàn giao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Giám thị từng phòng thi bàn giao toàn bộ bài thi của thí sinh, đề thi đã nhân bản chưa phát hết cho thí sinh và các văn bản khác có liên quan cho Trưởng ban coi thi. Trưởng ban coi thi bàn giao toàn bộ bài thi cho Ủy viên kiêm Thư ký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Ủy viên kiêm Thư ký Hội đồng thi chỉ được bàn giao bài thi cho Trưởng ban chấm thi sau khi toàn bộ các bài thi của thí sinh đã được đánh số phách và rọc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hình thức thi vấn đáp và thi thực hành: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Kết quả chấm thi phải được tổng hợp vào bảng kết quả thi có chữ ký của các thành viên chấm thi và giao ngay cho Trưởng ban chấm thi. Trưởng ban chấm thi niêm phong kết quả trước sự chứng kiến của thành viên chấm thi. Trưởng ban chấm thi bàn giao toàn bộ kết quả cho Ủy viên kiêm Thư ký Hội đồng thi ngay khi kết thúc buổi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Việc giao, nhận bài thi quy định tại khoản 1 và khoản 2 điều này đều phải có biên bản xác nhận đối với từng môn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16.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Trưởng ban chấm thi tổ chức, quản lý việc chấm thi tập trung tại địa điểm quy định, không được mang bài thi của thí sinh ra khỏi địa điểm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Thành viên chấm thi chỉ căn cứ vào nội dung bài thi và đáp án, thang điểm đã được Chủ tịch Hội đồng thi phê duyệt để chấm thi. Chỉ chấm những bài thi hợp lệ là bài thi làm trên giấy do Hội đồng thi phát, có đủ chữ ký của 02 giám thị phòng thi. Không chấm những bài làm trên giấy khác với giấy dùng cho kỳ thi đó, bài làm trên giấy nháp, bài có nhiều chữ khác nhau hoặc có viết, vẽ trái với thuần phong mỹ tục, bài có đánh dấu, bài viết từ 02 loại mực trở lên.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Mỗi bài thi được 02 thành viên chấm thi độc lập; nếu điểm của 02 thành viên chấm chênh lệch nhau từ 10% trở xuống so với số điểm tối đa thì lấy điểm bình quân; nếu chênh lệch trên 10% so với điểm tối đa thì thực hiện như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Đối với môn thi bằng hình thức thi viết và thi trắc nghiệm thì bài thi đó được chấm lại bởi 02 thành viên chấm thi khác, nếu vẫn chênh lệch trên 10% so với điểm tối đa thì chuyển 02 kết quả lên Trưởng ban chấm thi để báo cáo Chủ tịch Hội đồng thi xem xét, quyết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Đối với môn thi bằng hình thức thi vấn đáp và thi thực hành thì các thành viên chấm thi trao đổi để thống nhất ngay khi kết thúc phần thi đối với thí sinh đó, nếu không thống nhất được thì chuyển kết quả lên Trưởng ban chấm thi để báo cáo Chủ tịch Hội đồng thi xem xét, quyết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Điểm của bài thi phải được thành viên chấm thi ghi rõ bằng số và bằng chữ vào phần dành để ghi điểm trên bài thi và trên bảng tổng hợp điểm chấm thi, nếu có sửa chữa thì phải có chữ ký của 02 thành viên chấm thi ở bên cạnh nơi ghi điểm đã sửa chữa. Trường hợp điểm thi của thí sinh do Chủ tịch Hội đồng thi quyết định theo quy định tại điểm a và điểm b khoản 2 điều này thì Chủ tịch Hội đồng thi cũng phải ký tên vào bên cạnh nơi ghi điểm do Chủ tịch Hội đồng thi đã quyết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Sau khi chấm xong bài thi của từng môn thi, từng thành viên chấm thi tổng hợp kết quả thi và ký vào bảng tổng hợp, nộp cho Trưởng ban chấm thi. Trưởng ban chấm thi niêm phong và bàn giao cho Ủy viên kiêm Thư ký Hội đồng thi quản lý theo chế độ tài liệu tuyệt mật.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17. Ghép phách và tổng hợp kết quả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1. Sau khi tổ chức chấm thi xong mới được tổ chức ghép phách. Trưởng ban phách niêm phong danh sách thí sinh sau khi ghép phách và bàn giao cho Ủy viên kiêm Thư ký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Ủy viên kiêm Thư ký Hội đồng thi chịu trách nhiệm tổ chức tổng hợp kết quả thi sau khi ghép phách và báo cáo Chủ tịch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Chủ tịch Hội đồng thi báo cáo người đứng đầu cơ quan có thẩm quyền tuyển dụng công chức về kết quả thi để xem xét, trình cấp có thẩm quyền công nhận kết quả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18. Giám sát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Người đứng đầu cơ quan quản lý công chức quyết định thành lập Ban giám sát kỳ thi tuyển công chức, gồm các thành viên: Trưởng ban giám sát kỳ thi và các giám sát viên. Nhiệm vụ cụ thể của các giám sát viên do Trưởng ban giám sát kỳ thi phân công.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Nội dung giám sát gồm: việc thực hiện các quy định về tổ chức kỳ thi, về hồ sơ, tiêu chuẩn và điều kiện của người dự thi; về thực hiện quy chế và nội quy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Địa điểm giám sát: tại nơi làm việc của Hội đồng thi, nơi tổ chức thi, nơi tổ chức đánh số phách, rọc phách, ghép phách và nơi tổ chức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Thành viên Ban giám sát kỳ thi được quyền vào phòng thi và nơi chấm thi; có quyền nhắc nhở thí sinh, thành viên Ban coi thi, Ban phách và Ban chấm thi thực hiện đúng quy chế và nội quy của kỳ thi; khi phát hiện có sai phạm đến mức phải lập biên bản thì có quyền lập biên bản về sai phạm của thí sinh, thành viên Hội đồng thi, thành viên Ban coi thi, Ban phách và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5. Thành viên Ban giám sát kỳ thi khi làm nhiệm vụ phải đeo thẻ và phải tuân thủ đúng quy chế, nội quy của kỳ thi; nếu vi phạm quy chế, nội quy của kỳ thi hoặc làm lộ, lọt bí mật ảnh hưởng đến kết quả của kỳ thi thì Trưởng ban coi thi, Trưởng ban phách, Trưởng ban chấm thi báo cáo Chủ tịch Hội đồng thi để kịp thời báo cáo cơ quan quản lý công chức đình chỉ nhiệm vụ giám sát kỳ thi và xử lý theo quy định của pháp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19. Giải quyết khiếu nại, tố cáo và phúc khảo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Trong quá trình tổ chức kỳ thi, trường hợp có đơn khiếu nại, tố cáo, Hội đồng thi phải xem xét giải quyết trong thời hạn 10 ngày, kể từ ngày nhận được đơn khiếu nại, tố cáo.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Trong thời hạn 15 ngày, kể từ ngày niêm yết công khai kết quả thi tuyển, người dự tuyển có quyền gửi đơn đề nghị phúc khảo kết quả thi tuyển đến Hội đồng thi. Ủy viên kiêm Thư ký Hội đồng thi tổng hợp báo cáo Chủ tịch Hội đồng thi để báo cáo người đứng đầu cơ quan có thẩm quyền tuyển dụng công chức tổ chức chấm phúc khảo trong thời hạn 15 ngày, kể từ ngày hết thời hạn nhận đơn đề nghị phúc khảo theo quy định tại khoản này. Không giải quyết phúc khảo đối với các đơn đề nghị phúc khảo nhận được sau thời hạn quy định nêu trên (tính theo ngày đơn thư đến tại bộ phận văn thư của cơ quan có thẩm quyền tuyển dụng công chức) và các đơn đề nghị phúc khảo gửi bằng thư điện tử, Fax, Telex.</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Chủ tịch Hội đồng thi quyết định thành lập Ban phúc khảo, không bao gồm những thành viên đã tham gia vào Ban chấm thi; kết quả chấm phúc khảo được tổng hợp vào kết quả thi, Chủ tịch Hội đồng thi báo cáo người đứng đầu cơ quan có thẩm quyền tuyển dụng công chức xem xét và thông báo kết quả chấm phúc khảo cho người có đơn đề nghị phúc khảo trong thời hạn quy định tại khoản 2 điều này. Sau đó, trong thời hạn 15 ngày, kể từ ngày có thông báo kết quả chấm phúc khảo, người đứng đầu cơ quan có thẩm quyền tuyển dụng công chức phải trình người đứng đầu cơ quan quản lý công chức phê duyệt kết quả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20. Lưu trữ tài liệu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Tài liệu về kỳ thi bao gồm: các văn bản về tổ chức kỳ thi của người đứng đầu cơ quan có thẩm quyền tuyển dụng công chức, văn bản của Hội đồng thi, biên bản các cuộc họp Hội đồng thi, danh sách tổng hợp người dự thi, đề thi gốc, đáp án và thang điểm của đề thi, biên bản bàn giao đề thi, biên bản xác định tình trạng niêm phong đề thi, biên bản lập về các vi phạm quy chế, nội quy thi, biên bản bàn giao bài thi, biên bản chấm thi, bảng tổng hợp kết quả thi, quyết định công nhận kết quả thi, biên bản phúc khảo, giải quyết khiếu nại, tố cáo và các tài liệu khác (nếu có)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Trong thời hạn 30 ngày, kể từ ngày kết thúc kỳ thi (ngày cơ quan quản lý công chức phê duyệt kết quả kỳ thi), Ủy viên kiêm Thư ký Hội đồng thi chịu trách nhiệm: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a) Bàn giao cho cơ quan có thẩm quyền tuyển dụng công chức để lưu trữ, quản lý tài liệu về kỳ thi quy định tại khoản 1 điều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Bàn giao cho cơ quan được phân cấp quản lý hồ sơ công chức toàn bộ hồ sơ cá nhân của người dự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Bài thi và phách do Ủy viên kiêm Thư ký Hội đồng thi lưu trữ trong thời hạn 02 năm, kể từ ngày công bố kết quả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21. Tổ chức thi tuyển trong trường hợp không thành lập Hội đồng thi tuyển công chức </w:t>
      </w:r>
      <w:r>
        <w:rPr>
          <w:rFonts w:ascii="Arial" w:hAnsi="Arial" w:cs="Arial"/>
          <w:color w:val="000000"/>
          <w:sz w:val="18"/>
          <w:szCs w:val="18"/>
        </w:rPr>
        <w:t>   </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Trong trường hợp không thành lập Hội đồng thi tuyển công chức thì cơ quan có thẩm quyền tuyển dụng công chức vẫn phải bảo đảm quy trình tổ chức kỳ thi theo quy định tại Quy chế này, trong đó nhiệm vụ của Chủ tịch Hội đồng thi do người đứng đầu cơ quan có thẩm quyền tuyển dụng công chức thực hiện.</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7" w:name="chuong_2_1"/>
      <w:r>
        <w:rPr>
          <w:rFonts w:ascii="Arial" w:hAnsi="Arial" w:cs="Arial"/>
          <w:b/>
          <w:bCs/>
          <w:color w:val="000000"/>
          <w:sz w:val="18"/>
          <w:szCs w:val="18"/>
        </w:rPr>
        <w:t>Chương 2.</w:t>
      </w:r>
      <w:bookmarkEnd w:id="67"/>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8" w:name="chuong_2_1_name"/>
      <w:r>
        <w:rPr>
          <w:rFonts w:ascii="Arial" w:hAnsi="Arial" w:cs="Arial"/>
          <w:b/>
          <w:bCs/>
          <w:color w:val="000000"/>
        </w:rPr>
        <w:t>XÉT TUYỂN CÔNG CHỨC</w:t>
      </w:r>
      <w:bookmarkEnd w:id="68"/>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22. Hội đồng xét tuyển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Hội đồng xét tuyển công chức (sau đây viết tắt là Hội đồng xét tuyển) do người đứng đầu cơ quan có thẩm quyền tuyển dụng công chức quyết định thành lập. Hội đồng xét tuyển hoạt động theo từng kỳ xét tuyển và tự giải thể sau khi hoàn thành nhiệm vụ.</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2. Nhiệm vụ, quyền hạn của Hội đồng xét tuyển thực hiện theo quy định tại </w:t>
      </w:r>
      <w:bookmarkStart w:id="69" w:name="dc_25"/>
      <w:r>
        <w:rPr>
          <w:rFonts w:ascii="Arial" w:hAnsi="Arial" w:cs="Arial"/>
          <w:color w:val="000000"/>
          <w:sz w:val="18"/>
          <w:szCs w:val="18"/>
        </w:rPr>
        <w:t>khoản 2 Điều 7 Nghị định số 24/2010/NĐ-CP</w:t>
      </w:r>
      <w:bookmarkEnd w:id="69"/>
      <w:r>
        <w:rPr>
          <w:rFonts w:ascii="Arial" w:hAnsi="Arial" w:cs="Arial"/>
          <w:color w:val="000000"/>
          <w:sz w:val="18"/>
          <w:szCs w:val="18"/>
        </w:rPr>
        <w:t> ngày 15 tháng 3 năm 2010 của Chính phủ quy định về tuyển dụng, sử dụng và quản lý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Hội đồng xét tuyển được sử dụng con dấu, tài khoản của cơ quan có thẩm quyền tuyển dụng công chức trong các hoạt động của Hội đồng.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23. Nhiệm vụ, quyền hạn của các thành viên Hội đồng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Chủ tịch Hội đồng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Chịu trách nhiệm tổ chức thực hiện các nhiệm vụ của Hội đồng xét tuyển theo quy định, chỉ đạo việc tổ chức xét tuyển bảo đảm đúng quy chế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Phân công trách nhiệm cho từng thành viên của Hội đồng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Quyết định thành lập Ban kiểm tra sát hạch, Ban phúc khảo;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Tổ chức việc xây dựng và lựa chọn đề phỏng vấn theo đúng quy định, bảo đảm bí mật đề phỏng vấn theo chế độ tài liệu tuyệt mật.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đ) Tổ chức việc phỏng vấn và tổng hợp kết quả xét tuyển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e) Báo cáo người đứng đầu cơ quan có thẩm quyền tuyển dụng công chức xem xét, quyết định công nhận kết quả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g) Giải quyết khiếu nại, tố cáo trong quá trình tổ chức kỳ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Phó Chủ tịch Hội đồng xét tuyển: giúp Chủ tịch Hội đồng xét tuyển điều hành hoạt động của Hội đồng xét tuyển và thực hiện một số nhiệm vụ cụ thể của Hội đồng xét tuyển theo sự phân công của Chủ tịch Hội đồng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Các Ủy viên của Hội đồng xét tuyển do Chủ tịch Hội đồng xét tuyển phân công nhiệm vụ cụ thể để bảo đảm các hoạt động của Hội đồng xét tuyển thực hiện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Ủy viên kiêm Thư ký Hội đồng xét tuyển giúp Chủ tịch Hội đồng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Chuẩn bị các văn bản, tài liệu cần thiết của Hội đồng xét tuyển và ghi biên bản các cuộc họp của Hội đồng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Tổ chức và chuẩn bị các tài liệu để hướng dẫn ôn tập cho thí sinh;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Tổ chức việc thu phí dự xét tuyển, quản lý chi tiêu và thanh quyết toán phí dự xét tuyển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Tổng hợp, báo cáo kết quả xét tuyển với Hội đồng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đ) Nhận đơn phúc khảo và ghi rõ ngày nhận đơn phúc khảo theo dấu văn thư của cơ quan có thẩm quyền tuyển dụng công chức chuyển đến, kịp thời báo cáo Chủ tịch Hội đồng xét tuyển để báo cáo người đứng đầu cơ quan có thẩm quyền tuyển dụng công chức xem xét, quyết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24. Ban kiểm tra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Ban kiểm tra sát hạch do Chủ tịch Hội đồng xét tuyển thành lập gồm các thành viên: Trưởng ban và các ủy viên.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Nhiệm vụ, quyền hạn của các thành viên Ban kiểm tra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Trưởng Ban kiểm tra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Giúp Chủ tịch Hội đồng xét tuyển xây dựng đề phỏng vấn và tổ chức thực hiện việc phỏng vấn người dự tuyển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Tổ chức bố trí người phỏng vấn bảo đảm nguyên tắc mỗi người dự phỏng vấn phải có ít nhất 02 thành viên phỏng vấn và cho điểm;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Tổng hợp kết quả phỏng vấn và bàn giao biên bản, phiếu điểm chấm phỏng vấn cho Ủy viên kiêm Thư ký Hội đồng xét tuyển. Giữ gìn bí mật kết quả điểm phỏng vấn;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Báo cáo Chủ tịch Hội đồng xét tuyển quyết định kết quả phỏng vấn của thí sinh trong trường hợp các thành viên chấm chênh lệch nhau trên 10% so với điểm tối đa.</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Ủy viên Ban kiểm tra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Tham gia xây dựng bộ đề phỏng vấn theo phân công của Trưởng Ban kiểm tra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Thực hiện phỏng vấn, chấm điểm các thí sinh theo đúng đáp án và thang điểm của đề phỏng vấn;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Báo cáo các dấu hiệu vi phạm trong quá trình tổ chức phỏng vấn với Trưởng ban kiểm tra sát hạch và đề nghị hình thức xử lý.</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Tiêu chuẩn thành viên Ban kiểm tra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Người được cử làm thành viên Ban kiểm tra sát hạch phải là công chức, viên chức, nhà quản lý, nhà nghiên cứu khoa học, giảng viên có trình độ chuyên môn trên đại học hoặc người có nhiều kinh nghiệm đối với chuyên ngành, lĩnh vực phù hợp với vị trí cần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Không cử làm thành viên Ban kiểm tra sát hạch đối với những người là cha, mẹ, anh, chị, em ruột của bên vợ hoặc chồng, vợ hoặc chồng của người dự xét tuyển và những người đang trong thời gian bị xem xét xử lý kỷ luật hoặc đang thi hành quyết định kỷ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25. Tổ chức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Các bước chuẩn bị tổ chức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Trước ngày tổ chức phỏng vấn ít nhất 15 ngày, Hội đồng xét tuyển gửi thông báo triệu tập thí sinh dự phỏng vấn, thông báo cụ thể thời gian, địa điểm tổ chức ôn tập (nếu có) và địa điểm tổ chức phỏng vấn cho các thí sinh có đủ điều kiện dự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Trước ngày tổ chức phỏng vấn 01 ngày, Hội đồng xét tuyển niêm yết danh sách thí sinh theo số báo danh và theo phòng tổ chức phỏng vấn, sơ đồ vị trí các phòng, nội quy xét tuyển, hình thức xét tuyển tại địa điểm tổ chức phỏng vấn;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Trước ngày tổ chức xét tuyển ít nhất 01 ngày, Ủy viên kiêm Thư ký Hội đồng xét tuyển phải hoàn thành các công tác chuẩn bị cho kỳ xét tuyển như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Chuẩn bị các mẫu biểu liên quan đến tổ chức xét tuyển, gồm: danh sách thí sinh để gọi vào phỏng vấn; danh sách để thí sinh ký xác nhận sau khi phỏng vấn; mẫu biên bản bàn giao, nhận đề, mẫu biên bản mở đề, mẫu biên bản để xử lý vi phạm quy chế xét tuyển; mẫu biên bản bàn giao kết quả phỏng vấn và mẫu biên bản tạm giữ các giấy tờ, vật dụng của thí sinh vi phạm quy chế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Chuẩn bị thẻ cho các thành viên Hội đồng xét tuyển, Ban kiểm tra sát hạch, Ban giám sát kỳ xét tuyển, bộ phận phục vụ kỳ xét tuyển. Thẻ của Chủ tịch, Phó Chủ tịch, Ủy viên Hội đồng xét tuyển, Trưởng Ban kiểm tra sát hạch và Trưởng ban giám sát kỳ xét tuyển thì in đầy đủ họ tên và chức danh. Thẻ của các thành viên khác và giám sát viên chỉ in chức danh.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Tổ chức cuộc họp Ban kiểm tra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a) Trước khi tổ chức phỏng vấn, Trưởng ban kiểm tra sát hạch tổ chức họp Ban kiểm tra sát hạch; phổ biến kế hoạch, quy chế, nội quy, nhiệm vụ, quyền hạn trách nhiệm của các thành viên Ban kiểm tra sát hạch; thống nhất các hướng dẫn cần thiết để ủy viên Ban kiểm tra sát hạch thực hiện và hướng dẫn cho thí sinh thực hiện trong quá trình tổ chức phỏng vấn.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Trường hợp cần thiết, khi kết thúc buổi phỏng vấn. Trưởng ban kiểm tra sát hạch tổ chức họp Ban kiểm tra sát hạch để rút kinh nghiệm.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Tổ chức phỏng vấn: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Chủ tịch Hội đồng xét tuyển chỉ đạo Ban kiểm tra sát hạch tổ chức việc xây dựng đề phỏng vấn; Trưởng ban kiểm tra sát hạch trình Chủ tịch Hội đồng xét tuyển quyết định lựa chọn đề phỏng vấn, bảo đảm mỗi vị trí cần tuyển phải có ít nhất 20 đề (kèm đáp án và thang điểm); các đề phỏng vấn được nhân bản để thí sinh bốc thăm ngẫu nhiên, việc nhân bản phải hoàn thành trước giờ phỏng vấn 60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Nội dung đề phỏng vấn phải căn cứ vào tiêu chuẩn nghiệp vụ của ngạch công chức phù hợp với vị trí việc làm cần tuyển; kết cấu đề phỏng vấn phải bảo đảm tính chính xác, khoa học. Mỗi đề phỏng vấn phải có đáp án và thang điểm chi tiết. Đề phỏng vấn phải được đóng trong phong bì, niêm phong và bảo quản theo chế độ tài liệu tuyệt mật; việc giao nhận, mở đề phỏng vấn đều phải lập biên bản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Thời gian chuẩn bị và trả lời câu hỏi của mỗi thí sinh tối đa là 30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Khi chấm điểm phỏng vấn, các thành viên chấm độc lập. Nếu điểm của 02 thành viên chấm chênh lệch nhau từ 10% trở xuống so với điểm tối đa thì lấy điểm bình quân, nếu chênh lệch trên 10% so với điểm tối đa thì các thành viên chấm phỏng vấn trao đổi để thống nhất, nếu không thống nhất được thì chuyển kết quả lên Trưởng ban kiểm tra sát hạch để báo cáo Chủ tịch Hội đồng xét tuyển quyết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đ) Kết quả chấm phỏng vấn phải được tổng hợp vào bảng kết quả có chữ ký của các thành viên chấm phỏng vấn và bàn giao cho Trưởng ban kiểm tra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Tổng hợp kết quả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Sau khi tổ chức phỏng vấn, Trưởng ban kiểm tra sát hạch bàn giao kết quả phỏng vấn của các thí sinh dự xét tuyển cho Ủy viên kiêm Thư ký Hội đồng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Ủy viên kiêm Thư ký Hội đồng xét tuyển có trách nhiệm tổng hợp kết quả xét tuyển của các thí sinh trên cơ sở kết quả học tập, điểm tốt nghiệp và điểm phỏng vấn để báo cáo Hội đồng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Chủ tịch Hội đồng xét tuyển báo cáo người đứng đầu cơ quan có thẩm quyền tuyển dụng công chức về kết quả xét tuyển để xem xét, trình cấp có thẩm quyền công nhận kết quả kỳ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5. Việc bàn giao kết quả phỏng vấn quy định tại điểm đ khoản 3 và điểm a khoản 4 điều này đều phải có biên bản xác nhận.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26. Giám sát kỳ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Người đứng đầu cơ quan quản lý công chức quyết định thành lập Ban giám sát kỳ xét tuyển công chức, gồm các thành viên: Trưởng ban giám sát kỳ xét tuyển và các giám sát viên. Nhiệm vụ cụ thể của các giám sát viên do Trưởng ban giám sát kỳ xét tuyển phân công.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Nội dung giám sát gồm: việc thực hiện các quy định về tổ chức kỳ xét tuyển, về hồ sơ, tiêu chuẩn và điều kiện của người dự xét tuyển; về thực hiện quy chế tổ chức kỳ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Địa điểm giám sát: tại nơi làm việc của Hội đồng xét tuyển, tại nơi tổ chức phỏng vấn.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Thành viên Ban giám sát kỳ xét tuyển được quyền vào phòng phỏng vấn; có quyền nhắc nhở thí sinh, thành viên Ban kiểm tra sát hạch thực hiện đúng quy chế tổ chức kỳ xét tuyển; khi phát hiện có sai phạm đến mức phải lập biên bản thì có quyền lập biên bản về sai phạm của thí sinh, thành viên Hội đồng xét tuyển, thành viên Ban kiểm tra sát hạch.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5. Thành viên Ban giám sát kỳ xét tuyển khi làm nhiệm vụ phải đeo thẻ và phải tuân thủ đúng quy chế của kỳ xét tuyển; nếu vi phạm quy chế của kỳ xét tuyển hoặc làm lộ, lọt bí mật ảnh hưởng đến kết quả của kỳ xét tuyển thì Trưởng ban kiểm tra sát hạch báo cáo Chủ tịch Hội đồng xét tuyển để kịp thời báo cáo cơ quan quản lý công chức đình chỉ nhiệm vụ giám sát kỳ xét tuyển và xử lý theo quy định của pháp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lastRenderedPageBreak/>
        <w:t>Điều 27. Giải quyết khiếu nại, tố cáo và phúc khảo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Trong quá trình tổ chức kỳ xét tuyển, trường hợp có đơn khiếu nại, tố cáo, Hội đồng xét tuyển phải xem xét giải quyết trong thời hạn 10 ngày, kể từ ngày nhận được đơn khiếu nại, tố cáo.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Trong thời hạn 15 ngày, kể từ ngày niêm yết công khai kết quả xét tuyển, nếu thấy có sai sót của Hội đồng xét tuyển trong việc tính điểm học tập, điểm tốt nghiệp thì người dự tuyển có quyền gửi đơn đề nghị phúc khảo kết quả xét tuyển đến Hội đồng xét tuyển. Ủy viên kiêm Thư ký Hội đồng xét tuyển tổng hợp báo cáo Chủ tịch Hội đồng xét tuyển để báo cáo người đứng đầu cơ quan có thẩm quyền tuyển dụng công chức tổ chức phúc khảo trong thời hạn 15 ngày, kể từ ngày hết thời hạn nhận đơn đề nghị phúc khảo theo quy định tại khoản này. Không giải quyết phúc khảo đối với các đơn đề nghị phúc khảo nhận được sau thời hạn quy định nêu trên (tính theo ngày đơn thư đến tại bộ phận văn thư của cơ quan có thẩm quyền tuyển dụng công chức) và các đơn đề nghị phúc khảo gửi bằng thư điện tử, Fax, Telex.</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Chủ tịch Hội đồng xét tuyển quyết định thành lập Ban phúc khảo; kết quả phúc khảo được tổng hợp vào kết quả xét tuyển, Chủ tịch Hội đồng xét tuyển báo cáo người đứng đầu cơ quan có thẩm quyền tuyển dụng công chức xem xét và thông báo kết quả phúc khảo cho người có đơn đề nghị phúc khảo trong thời hạn quy định tại khoản 2 điều này. Sau đó, trong thời hạn 15 ngày, người đứng đầu cơ quan có thẩm quyền tuyển dụng công chức phải trình người đứng đầu cơ quan quản lý công chức phê duyệt kết quả kỳ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28. Lưu trữ tài liệu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Tài liệu về kỳ xét tuyển bao gồm: các văn bản về tổ chức kỳ xét tuyển của người đứng đầu cơ quan có thẩm quyền tuyển dụng công chức, văn bản của Hội đồng xét tuyển, biên bản các cuộc họp Hội đồng xét tuyển, danh sách tổng hợp người dự tuyển, đề phỏng vấn gốc, thang điểm và đáp án đề phỏng vấn, các biên bản bàn giao đề phỏng vấn, biên bản xác định tình trạng niêm phong đề phỏng vấn, biên bản lập về các vi phạm quy chế, nội quy xét tuyển, bảng tổng hợp kết quả phỏng vấn, kết quả xét tuyển, quyết định công nhận kết quả xét tuyển, biên bản phúc khảo, giải quyết khiếu nại, tố cáo và các tài liệu khác (nếu có) của kỳ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Trong thời hạn 30 ngày, kể từ ngày kết thúc kỳ xét tuyển (ngày cơ quan quản lý công chức phê duyệt kết quả kỳ xét tuyển), Ủy viên Thư ký Hội đồng xét tuyển chịu trách nhiệm: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Bàn giao cho cơ quan có thẩm quyền tuyển dụng công chức để lưu trữ, bàn giao cho cơ quan có thẩm quyền tuyển dụng lưu trữ, quản lý tài liệu về kỳ xét tuyển quy định tại khoản 1 điều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Bàn giao cho cơ quan được phân cấp quản lý hồ sơ công chức toàn bộ hồ sơ cá nhân của người dự xét tuyển.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29. Tổ chức xét tuyển trong trường hợp không thành lập Hội đồng xét tuyển công chức </w:t>
      </w:r>
      <w:r>
        <w:rPr>
          <w:rFonts w:ascii="Arial" w:hAnsi="Arial" w:cs="Arial"/>
          <w:color w:val="000000"/>
          <w:sz w:val="18"/>
          <w:szCs w:val="18"/>
        </w:rPr>
        <w:t> </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Trong trường hợp không thành lập Hội đồng xét tuyển công chức thì cơ quan có thẩm quyền tuyển dụng công chức vẫn phải bảo đảm quy trình tổ chức kỳ xét tuyển theo quy định tại Quy chế này, trong đó nhiệm vụ của Chủ tịch Hội đồng xét tuyển do người đứng đầu cơ quan có thẩm quyền tuyển dụng công chức thực hiện.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w:t>
      </w:r>
    </w:p>
    <w:p w:rsidR="007413DD" w:rsidRDefault="007413DD" w:rsidP="007413D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70" w:name="loai_phuluc3"/>
      <w:r>
        <w:rPr>
          <w:rFonts w:ascii="Arial" w:hAnsi="Arial" w:cs="Arial"/>
          <w:b/>
          <w:bCs/>
          <w:color w:val="000000"/>
          <w:sz w:val="18"/>
          <w:szCs w:val="18"/>
        </w:rPr>
        <w:t>Phụ lục số 3</w:t>
      </w:r>
      <w:bookmarkEnd w:id="70"/>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1" w:name="loai_phuluc3_name"/>
      <w:r>
        <w:rPr>
          <w:rFonts w:ascii="Arial" w:hAnsi="Arial" w:cs="Arial"/>
          <w:b/>
          <w:bCs/>
          <w:color w:val="000000"/>
        </w:rPr>
        <w:t>NỘI QUY</w:t>
      </w:r>
      <w:bookmarkEnd w:id="71"/>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2" w:name="loai_phuluc3_name_name"/>
      <w:r>
        <w:rPr>
          <w:rFonts w:ascii="Arial" w:hAnsi="Arial" w:cs="Arial"/>
          <w:color w:val="000000"/>
          <w:sz w:val="18"/>
          <w:szCs w:val="18"/>
        </w:rPr>
        <w:t>KỲ THI TUYỂN, THI NÂNG NGẠCH CÔNG CHỨC</w:t>
      </w:r>
      <w:r>
        <w:rPr>
          <w:rFonts w:ascii="Arial" w:hAnsi="Arial" w:cs="Arial"/>
          <w:color w:val="000000"/>
          <w:sz w:val="18"/>
          <w:szCs w:val="18"/>
        </w:rPr>
        <w:br/>
      </w:r>
      <w:bookmarkEnd w:id="72"/>
      <w:r>
        <w:rPr>
          <w:rFonts w:ascii="Arial" w:hAnsi="Arial" w:cs="Arial"/>
          <w:i/>
          <w:iCs/>
          <w:color w:val="000000"/>
          <w:sz w:val="18"/>
          <w:szCs w:val="18"/>
        </w:rPr>
        <w:t>(Ban hành kèm theo Thông tư số 13/2010/TT-BNV ngày 30 tháng 12 năm 2010 của Bộ Nội vụ)</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 Quy định đối với thí sinh tham dự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Phải có mặt trước phòng thi đúng giờ quy định. Trang phục gọn gàng, thể hiện văn minh, lịch sự.</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Xuất trình Giấy chứng minh nhân dân hoặc các giấy tờ tùy thân hợp pháp khác (có dán ảnh) để giám thị phòng thi đối chiếu khi gọi vào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Ngồi đúng chỗ theo số báo danh, để Giấy chứng minh nhân dân hoặc giấy tờ khác lên mặt bàn để giám thị phòng thi và các thành viên Hội đồng thi kiểm tra.</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4. Chỉ được mang vào phòng thi bút viết, thước kẻ; không được mang vào phòng thi điện thoại di động, máy ghi âm, máy ảnh, máy vi tính, các phương tiện thông tin khác và các loại giấy tờ, tài liệu có liên quan đến nội dung thi (trừ trường hợp đề thi có quy định khác).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5. Chỉ sử dụng loại giấy thi được phát để làm bài thi, không được làm bài thi trên giấy khác. Phải ghi đầy đủ các mục quy định trong giấy làm bài thi. Mỗi tờ giấy thi phải có đủ chữ ký của 02 giám thị phòng thi, bài thi không có đủ chữ ký của 02 giám thị phòng thi được xem là không hợp lệ.</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6. Bài thi chỉ được viết bằng một loại mực có màu xanh hoặc màu đen. Không được sử dụng các loại mực màu khác, mực nhũ, mực phản quang, bút chì để làm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7. Trừ phần ghi bắt buộc trên trang phách, thí sinh không được ghi họ tên, chữ ký của thí sinh, chức danh, tên cơ quan, hoặc các dấu hiệu khác lên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8. Giữ trật tự và không được hút thuốc trong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9. Không được trao đổi với người khác trong thời gian thi, không được trao đổi giấy thi, giấy nháp, không được quay cóp bài thi của thí sinh khác hoặc có bất kỳ một hành động gian lận nào khác để đạt được kết quả thi tốt hơn.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10. Nếu cần hỏi điều gì, phải hỏi công khai giám thị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11. Trường hợp cần viết lại thì gạch chéo hoặc gạch ngang phần đã viết trong bài thi (trừ trường hợp đề thi có quy định khác).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12. Chỉ được ra ngoài phòng thi sau hơn một nửa thời gian làm bài và phải được sự đồng ý của giám thị phòng thi. Không giải quyết cho thí sinh ra ngoài phòng thi đối với môn thi có thời gian dưới 60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13. Trong thời gian không được ra ngoài phòng thi theo quy định tại khoản 12 điều này, thí sinh có đau, ốm bất thường thì phải báo cáo giám thị phòng thi và giám thị phòng thi phải báo ngay cho Trưởng ban coi thi xem xét, giải quyết.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14. Ngừng làm bài và nộp bài cho giám thị phòng thi ngay sau khi giám thị phòng thi tuyên bố hết thời gian làm bài thi. Phải ghi rõ số tờ, số trang của bài thi đã nộp và ký vào danh sách nộp bài thi. Trường hợp không làm được bài, thí sinh cũng phải nộp lại giấy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 Xử lý vi phạm đối với thí sinh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Thí sinh vi phạm nội quy thi đều phải lập biên bản và tùy theo mức độ vi phạm, thí sinh sẽ bị xử lý kỷ luật theo các hình thức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Khiển trách: áp dụng đối với thí sinh vi phạm một trong các lỗi: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Cố ý ngồi không đúng chỗ ghi số báo danh của mình;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Trao đổi với người khác đã bị nhắc nhở nhưng vẫn không chấp hành;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Mang tài liệu vào phòng thi nhưng chưa sử dụng (trừ trường hợp đề thi có quy định được mang tài liệu vào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Hình thức kỷ luật khiển trách do giám thị phòng thi lập biên bản và công bố công khai tại phòng thi. Thí sinh bị khiển trách ở bài thi nào sẽ bị trừ 20% kết quả điểm thi của bài thi đó.</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Cảnh cáo: áp dụng đối với thí sinh vi phạm một trong các lỗi: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Đã bị khiển trách nhưng vẫn tiếp tục vi phạm nội quy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Sử dụng tài liệu trong phòng thi (trừ trường hợp đề thi có quy định được sử dụng tài liệu trong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Trao đổi giấy nháp, bài thi cho nhau;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Chép bài của người khác;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Sử dụng điện thoại di động, máy ghi âm, máy ảnh, máy vi tính và các phương tiện thông tin khác trong phòng thi (trừ trường hợp đề thi có quy định khác).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Hình thức kỷ luật cảnh cáo do giám thị phòng thi lập biên bản, thu tang vật và công bố công khai tại phòng thi. Thí sinh bị cảnh cáo ở bài thi nào thì sẽ bị trừ 40% kết quả điểm thi của bài thi đó.</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c) Đình chỉ thi: áp dụng đối với thí sinh vi phạm đã bị lập biên bản cảnh cáo nhưng vẫn cố tình vi phạm nội quy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Hình thức kỷ luật đình chỉ thi do Trưởng ban coi thi quyết định và công bố công khai tại phòng thi. Thí sinh bị đình chỉ thi môn nào thì bài thi môn đó được chấm điểm 0.</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Hủy bỏ kết quả thi: áp dụng đối với thí sinh phát hiện đánh tráo bài thi, thi hộ hoặc đã bị xử lý kỷ luật ở bài thi trước, nhưng bài thi sau vẫn cố tình vi phạm nội quy đến mức cảnh cáo.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đ) Nếu thí sinh vi phạm ở mức độ nghiêm trọng, cố ý gây mất an toàn trong phòng thi thì sẽ bị xử lý theo quy định của pháp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Các trường hợp thí sinh vi phạm nội quy thi phải lập biên bản thì 02 giám thị phòng thi và thí sinh phải ký vào biên bản. Sau khi lập biên bản và công bố công khai tại phòng thi, giám thị 1 phòng thi phải báo cáo ngay với Trưởng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Thí sinh có quyền tố giác những người vi phạm nội quy, quy chế thi cho giám thị, Trưởng ban coi thi hoặc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3. Quy định đối với giám thị phòng thi, giám thị hành lang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Phải có mặt tại địa điểm thi đúng giờ quy định. Trang phục gọn gàng thể hiện văn minh, lịch sự.</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Thực hiện đúng chức trách, nhiệm vụ được giao theo quy chế và nội quy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Giữ trật tự, không được hút thuốc, không được sử dụng điện thoại di động, máy ảnh trong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Không được trao đổi riêng với bất kỳ thí sinh nào trong thời gian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4. Xử lý vi phạm đối với giám thị phòng thi, giám thị hành lang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Giám thị phòng thi, giám thị hành lang vi phạm các quy định tại Điều 3 của Nội quy này thì tùy theo mức độ vi phạm, Trưởng ban coi thi nhắc nhở hoặc đề nghị Chủ tịch Hội đồng thi đình chỉ nhiệm vụ giám thị.</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Trường hợp giám thị phòng thi có các hành vi làm lộ đề thi, chuyển đề thi ra ngoài, chuyển đáp án từ ngoài vào phòng thi thì Chủ tịch Hội đồng thi đình chỉ nhiệm vụ giám thị. Trường hợp vi phạm nghiêm trọng, gây ảnh hưởng đến kết quả kỳ thi thì bị xem xét xử lý kỷ luật theo quy định đối với cán bộ, công chức, viên chức hoặc bị truy tố theo quy định của pháp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w:t>
      </w:r>
    </w:p>
    <w:p w:rsidR="007413DD" w:rsidRDefault="007413DD" w:rsidP="007413D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73" w:name="loai_phuluc4"/>
      <w:r>
        <w:rPr>
          <w:rFonts w:ascii="Arial" w:hAnsi="Arial" w:cs="Arial"/>
          <w:b/>
          <w:bCs/>
          <w:color w:val="000000"/>
          <w:sz w:val="18"/>
          <w:szCs w:val="18"/>
        </w:rPr>
        <w:t>Phụ lục số 4</w:t>
      </w:r>
      <w:bookmarkEnd w:id="73"/>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4" w:name="loai_phuluc4_name"/>
      <w:r>
        <w:rPr>
          <w:rFonts w:ascii="Arial" w:hAnsi="Arial" w:cs="Arial"/>
          <w:b/>
          <w:bCs/>
          <w:color w:val="000000"/>
        </w:rPr>
        <w:t>QUY CHẾ</w:t>
      </w:r>
      <w:bookmarkEnd w:id="74"/>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5" w:name="loai_phuluc4_name_name"/>
      <w:r>
        <w:rPr>
          <w:rFonts w:ascii="Arial" w:hAnsi="Arial" w:cs="Arial"/>
          <w:color w:val="000000"/>
          <w:sz w:val="18"/>
          <w:szCs w:val="18"/>
        </w:rPr>
        <w:t>TỔ CHỨC THI NÂNG NGẠCH CÔNG CHỨC</w:t>
      </w:r>
      <w:r>
        <w:rPr>
          <w:rFonts w:ascii="Arial" w:hAnsi="Arial" w:cs="Arial"/>
          <w:color w:val="000000"/>
          <w:sz w:val="18"/>
          <w:szCs w:val="18"/>
        </w:rPr>
        <w:br/>
      </w:r>
      <w:bookmarkEnd w:id="75"/>
      <w:r>
        <w:rPr>
          <w:rFonts w:ascii="Arial" w:hAnsi="Arial" w:cs="Arial"/>
          <w:i/>
          <w:iCs/>
          <w:color w:val="000000"/>
          <w:sz w:val="18"/>
          <w:szCs w:val="18"/>
        </w:rPr>
        <w:t>(Ban hành kèm theo Thông tư số 13/2010/TT-BNV ngày 30 tháng 12 năm 2010 của Bộ Nội vụ)</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76" w:name="chuong_1_2"/>
      <w:r>
        <w:rPr>
          <w:rFonts w:ascii="Arial" w:hAnsi="Arial" w:cs="Arial"/>
          <w:b/>
          <w:bCs/>
          <w:color w:val="000000"/>
          <w:sz w:val="18"/>
          <w:szCs w:val="18"/>
        </w:rPr>
        <w:t>Chương 1.</w:t>
      </w:r>
      <w:bookmarkEnd w:id="76"/>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7" w:name="chuong_1_2_name"/>
      <w:r>
        <w:rPr>
          <w:rFonts w:ascii="Arial" w:hAnsi="Arial" w:cs="Arial"/>
          <w:b/>
          <w:bCs/>
          <w:color w:val="000000"/>
        </w:rPr>
        <w:t>HỘI ĐỒNG THI NÂNG NGẠCH, CÁC BỘ PHẬN GIÚP VIỆC CỦA HỘI ĐỒNG THI NÂNG NGẠCH CÔNG CHỨC</w:t>
      </w:r>
      <w:bookmarkEnd w:id="77"/>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MỤC 1. HỘI ĐỒNG THI NÂNG NGẠCH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 Hội đồng thi nâng ngạch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Hội đồng thi nâng ngạch công chức (sau đây viết tắt là Hội đồng thi) do người đứng đầu cơ quan có thẩm quyền tổ chức thi nâng ngạch công chức quyết định thành lập. Hội đồng thi hoạt động theo từng kỳ thi và tự giải thể sau khi hoàn thành nhiệm vụ.</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2. Nhiệm vụ, quyền hạn của Hội đồng thi thực hiện theo quy định tại </w:t>
      </w:r>
      <w:bookmarkStart w:id="78" w:name="dc_26"/>
      <w:r>
        <w:rPr>
          <w:rFonts w:ascii="Arial" w:hAnsi="Arial" w:cs="Arial"/>
          <w:color w:val="000000"/>
          <w:sz w:val="18"/>
          <w:szCs w:val="18"/>
        </w:rPr>
        <w:t>khoản 2 Điều 32 Nghị định số </w:t>
      </w:r>
      <w:bookmarkEnd w:id="78"/>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"https://thuvienphapluat.vn/van-ban/bo-may-hanh-chinh/nghi-dinh-24-2010-nd-cp-tuyen-dung-su-dung-quan-ly-cong-chuc-102412.aspx" \o "Nghị định 24/2010/NĐ-CP"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24/2010/NĐ-CP</w:t>
      </w:r>
      <w:r>
        <w:rPr>
          <w:rFonts w:ascii="Arial" w:hAnsi="Arial" w:cs="Arial"/>
          <w:color w:val="000000"/>
          <w:sz w:val="18"/>
          <w:szCs w:val="18"/>
        </w:rPr>
        <w:fldChar w:fldCharType="end"/>
      </w:r>
      <w:r>
        <w:rPr>
          <w:rFonts w:ascii="Arial" w:hAnsi="Arial" w:cs="Arial"/>
          <w:color w:val="000000"/>
          <w:sz w:val="18"/>
          <w:szCs w:val="18"/>
        </w:rPr>
        <w:t> ngày 15 tháng 3 năm 2010 của Chính phủ quy định về tuyển dụng, sử dụng và quản lý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Hội đồng thi được sử dụng con dấu, tài khoản của cơ quan có thẩm quyền tổ chức thi nâng ngạch công chức trong các hoạt động của Hội đồng.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 Nhiệm vụ, quyền hạn của các thành viên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Chủ tịch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a) Chịu trách nhiệm tổ chức thực hiện các nhiệm vụ của Hội đồng thi theo quy định, chỉ đạo tổ chức kỳ thi bảo đảm đúng nội quy, quy chế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Phân công trách nhiệm cho từng thành viên của Hội đồng thi, trong số các thành viên phân công một người làm Ủy viên thường trực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Quyết định thành lập Ban đề thi, Ban coi thi, Ban phách, Ban chấm thi, Ban phúc khảo;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Tổ chức việc xây dựng đề thi, lựa chọn đề thi, bảo quản, lưu trữ các đề thi theo đúng quy định; bảo đảm bí mật đề thi theo chế độ tài liệu tuyệt mật;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đ) Tổ chức việc coi thi, quản lý bài thi, đánh số phách, rọc phách, quản lý phách và chấm thi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e) Báo cáo người đứng đầu cơ quan có thẩm quyền tổ chức thi nâng ngạch công chức xem xét, quyết định công nhận kết quả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g) Giải quyết khiếu nại, tố cáo trong quá trình tổ chức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Ủy viên thường trực Hội đồng thi: giúp Chủ tịch Hội đồng thi điều hành hoạt động của Hội đồng thi và thực hiện một số nhiệm vụ cụ thể của Hội đồng thi theo sự phân công của Chủ tịch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Các Ủy viên của Hội đồng thi do Chủ tịch Hội đồng thi phân công nhiệm vụ cụ thể để bảo đảm các hoạt động của Hội đồng thi thực hiện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Ủy viên kiêm Thư ký Hội đồng thi giúp Chủ tịch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Chuẩn bị các văn bản, tài liệu cần thiết của Hội đồng thi và ghi biên bản các cuộc họp của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Tổ chức và chuẩn bị các tài liệu để hướng dẫn ôn tập cho thí sinh;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Tổ chức việc thu phí dự thi nâng ngạch, quản lý chi tiêu và thanh quyết toán phí dự thi nâng ngạch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Nhận và kiểm tra niêm phong bài thi từ Trưởng ban coi thi; bàn giao bài thi cho Trưởng ban phách, nhận bài thi đã rọc phách và đánh số phách từ Trưởng ban phách; bàn giao bài thi đã rọc phách cho Trưởng ban chấm thi và thu bài thi đã có kết quả chấm thi từ Trưởng ban chấm thi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đ) Tổng hợp, báo cáo kết quả thi với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e) Nhận đơn phúc khảo và ghi rõ ngày nhận đơn phúc khảo theo dấu văn thư của cơ quan có thẩm quyền tổ chức thi nâng ngạch chuyển đến, kịp thời báo cáo Chủ tịch Hội đồng thi để báo cáo người đứng đầu cơ quan có thẩm quyền tổ chức thi nâng ngạch xem xét, quyết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MỤC 2. CÁC BỘ PHẬN GIÚP VIỆC CỦA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3.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Ban coi thi do Chủ tịch Hội đồng thi thành lập, gồm các thành viên: Trưởng ban, Phó trưởng ban và các giám thị.</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Nhiệm vụ, quyền hạn của các thành viên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Trưởng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Giúp Hội đồng thi tổ chức kỳ thi theo đúng quy chế và nội quy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Bố trí phòng thi; phân công nhiệm vụ cho Phó trưởng ban coi thi; phân công giám thị phòng thi và giám thị hành lang cho từng môn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Nhận và bảo quản đề thi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Tạm đình chỉ việc coi thi của giám thị, kịp thời báo cáo Chủ tịch Hội đồng thi quyết định hoặc đình chỉ thi đối với thí sinh nếu thấy có căn cứ vi phạm nội quy, quy chế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Tổ chức thu bài thi của thí sinh và niêm phong bài thi để bàn giao cho Ủy viên kiêm Thư ký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Phó Trưởng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Giúp Trưởng ban coi thi điều hành một số hoạt động của Ban coi thi theo sự phân công của Trưởng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Giám thị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Mỗi phòng thi được phân công 02 giám thị, trong đó có một giám thị được Trưởng ban coi thi phân công chịu trách nhiệm chính trong việc tổ chức thi tại phòng thi (gọi là giám thị 1). Giám thị 1 phân công nhiệm vụ cụ thể cho các giám thị tại phòng thi. Giám thị phòng thi thực hiện các nhiệm vụ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Kiểm tra phòng thi, đánh số báo danh của thí sinh vào chỗ ngồi tại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Gọi thí sinh vào phòng thi; kiểm tra giấy chứng minh nhân dân (hoặc một trong các loại giấy tờ tùy thân hợp pháp khác) của thí sinh; chỉ cho phép thí sinh mang vào phòng thi những vật dụng theo quy định; hướng dẫn thí sinh ngồi theo đúng vị trí;</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Ký vào giấy làm bài thi và giấy nháp theo quy định; phát giấy thi, giấy nháp cho thí sinh; hướng dẫn thí sinh các quy định về làm bài thi, nội quy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Nhận đề thi; kiểm tra niêm phong đề thi có sự chứng kiến của thí sinh; mở đề thi; đọc đề thi hoặc phát đề thi cho thí sinh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Thực hiện nhiệm vụ coi thi theo nội quy, quy chế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Xử lý các trường hợp vi phạm nội quy thi; lập biên bản và báo cáo Trưởng ban coi thi xem xét, quyết định nếu vi phạm đến mức phải đình chỉ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Thu bài thi theo đúng thời gian quy định; kiểm tra bài thi do thí sinh nộp, đảm bảo đúng họ tên, số báo danh, số tờ; ký biên bản và bàn giao bài thi, đề thi đã nhân bản chưa phát hết cho thí sinh và các biên bản vi phạm (nếu có) cho Trưởng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Giám thị hành lang: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Giữ gìn trật tự và bảo đảm an toàn bên ngoài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Phát hiện, nhắc nhở, phê bình, cùng giám thị phòng thi lập biên bản thí sinh vi phạm nội quy, quy chế của kỳ thi ở khu vực hành lang. Trường hợp vi phạm nghiêm trọng như gây mất trật tự, an toàn ở khu vực hành lang phải báo ngay cho Trưởng ban coi thi xem xét, giải quyết;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Không được vào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Tiêu chuẩn giám thị:</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Người được cử làm giám thị phải là công chức, viên chức ở ngạch chuyên viên hoặc tương đương trở lên;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Không cử làm giám thị đối với những người là cha, mẹ, anh, chị, em ruột của bên vợ hoặc chồng, vợ hoặc chồng của người dự thi và những người đang trong thời gian bị xem xét xử lý kỷ luật hoặc đang thi hành quyết định kỷ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Người được cử làm giám thị không được tham gia Ban đề thi và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4. Ban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Ban phách do Chủ tịch Hội đồng thi thành lập gồm các thành viên: Trưởng ban và các ủy viên.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Nhiệm vụ, quyền hạn của các thành viên Ban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Trưởng ban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Giúp Hội đồng thi và phân công nhiệm vụ cụ thể cho các thành viên Ban phách để tổ chức thực hiện việc đánh số phách và rọc phách các bài thi theo đúng quy định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Niêm phong phách và bài thi đã được rọc phách, bàn giao cho Ủy viên kiêm Thư ký Hội đồng thi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Ủy viên Ban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Đánh số phách và rọc phách các bài thi theo phân công của Trưởng ban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Bảo đảm bí mật số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Tiêu chuẩn thành viên Ban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a) Người được cử làm thành viên Ban phách phải là công chức, viên chức đang ở ngạch chuyên viên hoặc tương đương trở lên;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Không cử làm thành viên Ban phách đối với những người là cha, mẹ, anh, chị, em ruột của bên vợ hoặc chồng, vợ hoặc chồng của người dự thi và những người đang trong thời gian bị xem xét xử lý kỷ luật hoặc đang thi hành quyết định kỷ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Người được cử làm thành viên Ban phách không được tham gia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5. Ban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Ban đề thi do Chủ tịch Hội đồng thi thành lập gồm các thành viên: Trưởng ban và các ủy viên.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Nhiệm vụ, quyền hạn của các thành viên Ban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Trưởng ban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Giúp Hội đồng thi tổ chức thực hiện việc xây dựng bộ đề thi hoặc ngân hàng câu hỏi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Giữ bí mật của bộ đề thi hoặc ngân hàng câu hỏi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Ủy viên Ban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Tham gia xây dựng bộ đề thi hoặc ngân hàng câu hỏi theo phân công của Trưởng ban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Giữ bí mật của bộ đề thi hoặc ngân hàng câu hỏi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Tiêu chuẩn thành viên Ban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Người được cử làm thành viên Ban đề thi phải là công chức, viên chức, nhà quản lý, nhà nghiên cứu khoa học, giảng viên có trình độ chuyên môn trên đại học hoặc người có nhiều kinh nghiệm đối với môn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Không cử làm thành viên Ban đề thi đối với những người là cha, mẹ, anh, chị, em ruột của bên vợ hoặc chồng, vợ hoặc chồng của người dự thi và những người đang trong thời gian bị xem xét xử lý kỷ luật hoặc đang thi hành quyết định kỷ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Người được cử làm thành viên Ban đề thi không được tham gia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6.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Ban chấm thi do Chủ tịch Hội đồng thi thành lập gồm các thành viên: Trưởng ban và các ủy viên.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Nhiệm vụ, quyền hạn của các thành viên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Trưởng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Giúp Hội đồng thi tổ chức thực hiện việc chấm thi theo đúng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Phân công các ủy viên Ban chấm thi bảo đảm nguyên tắc mỗi bài thi viết, thi vấn đáp phải có ít nhất 02 thành viên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Tổ chức trao đổi để thống nhất báo cáo Chủ tịch Hội đồng thi xem xét, phê duyệt đáp án, thang điểm chi tiết của đề thi trước khi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Nhận và phân chia bài thi của thí sinh cho các thành viên Ban chấm thi, bàn giao biên bản chấm thi và kết quả chấm thi cho Ủy viên kiêm Thư ký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Lập biên bản và báo cáo Chủ tịch Hội đồng thi xem xét và giải quyết khi phát hiện bài thi của thí sinh vi phạm nội quy, quy chế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Tổng hợp kết quả chấm thi, bàn giao cho Ủy viên kiêm Thư ký Hội đồng thi. Giữ gìn bí mật kết quả điểm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Quyết định chấm lại bài thi trong trường hợp các thành viên chấm thi chấm chênh lệch nhau trên 10% so với điểm tối đa đối với cùng một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Ủy viên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Chấm điểm các bài thi theo đúng đáp án và thang điểm;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Báo cáo dấu hiệu vi phạm trong các bài thi với Trưởng ban chấm thi và đề nghị hình thức xử lý.</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3. Tiêu chuẩn thành viên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Người được cử làm thành viên Ban chấm thi phải là công chức, viên chức, nhà quản lý, nhà nghiên cứu khoa học, giảng viên có trình độ chuyên môn trên đại học hoặc người có nhiều kinh nghiệm đối với môn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Không cử làm thành viên Ban chấm thi đối với những người là cha, mẹ, anh, chị, em ruột của bên vợ hoặc chồng, vợ hoặc chồng của người dự thi và những người đang trong thời gian bị xem xét xử lý kỷ luật hoặc đang thi hành quyết định kỷ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Người được cử làm thành viên Ban chấm thi không được tham gia vào Ban coi thi và Ban phách.</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79" w:name="chuong_2_2"/>
      <w:r>
        <w:rPr>
          <w:rFonts w:ascii="Arial" w:hAnsi="Arial" w:cs="Arial"/>
          <w:b/>
          <w:bCs/>
          <w:color w:val="000000"/>
          <w:sz w:val="18"/>
          <w:szCs w:val="18"/>
        </w:rPr>
        <w:t>Chương 2.</w:t>
      </w:r>
      <w:bookmarkEnd w:id="79"/>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0" w:name="chuong_2_2_name"/>
      <w:r>
        <w:rPr>
          <w:rFonts w:ascii="Arial" w:hAnsi="Arial" w:cs="Arial"/>
          <w:b/>
          <w:bCs/>
          <w:color w:val="000000"/>
        </w:rPr>
        <w:t>TỔ CHỨC KỲ THI NÂNG NGẠCH</w:t>
      </w:r>
      <w:bookmarkEnd w:id="80"/>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7. Công tác chuẩn bị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Trước ngày thi ít nhất 15 ngày, Hội đồng thi gửi thông báo triệu tập thí sinh dự thi, thông báo cụ thể thời gian, địa điểm tổ chức ôn thi (nếu có) và địa điểm tổ chức thi cho các thí sinh có đủ điều kiện dự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Trước ngày thi 01 ngày, Hội đồng thi niêm yết danh sách thí sinh theo số báo danh và theo phòng thi, sơ đồ vị trí các phòng thi, nội quy thi, hình thức thi, thời gian thi đối với từng môn thi tại địa điểm tổ chức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Trước ngày thi ít nhất 01 ngày, Ủy viên kiêm Thư ký Hội đồng thi phải hoàn thành các công tác chuẩn bị cho kỳ thi như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Chuẩn bị các mẫu biểu liên quan đến tổ chức thi, gồm: danh sách thí sinh để gọi vào phòng thi; danh sách để thí sinh ký nộp bài thi; mẫu biên bản bàn giao, nhận đề thi, mẫu biên bản mở đề thi, mẫu biên bản xử lý vi phạm nội quy thi; mẫu biên bản bàn giao bài thi và mẫu biên bản tạm giữ các giấy tờ, vật dụng của thí sinh vi phạm quy chế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Chuẩn bị thẻ cho các thành viên Hội đồng thi, Ban coi thi, Ban giám sát kỳ thi, bộ phận phục vụ kỳ thi. Thẻ của Chủ tịch, Ủy viên Hội đồng thi, Trưởng ban coi thi và Trưởng ban giám sát kỳ thi thì in đầy đủ họ tên và chức danh. Thẻ của các thành viên khác và giám sát viên chỉ in chức danh.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8. Khai mạc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Trước khi bắt đầu kỳ thi phải tổ chức lễ khai mạc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Trình tự tổ chức lễ khai mạc như sau: chào cờ; tuyên bố lý do; giới thiệu đại biểu; công bố quyết định thành lập Hội đồng thi; công bố quyết định tổ chức kỳ thi; công bố quyết định thành lập Ban coi thi, Ban giám sát kỳ thi; Chủ tịch Hội đồng thi nâng ngạch tuyên bố khai mạc kỳ thi; phổ biến kế hoạch thi, quy chế thi, nội quy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9. Tổ chức các cuộc họp Ban coi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Sau lễ khai mạc, Trưởng ban coi thi tổ chức họp Ban coi thi; phổ biến kế hoạch, quy chế, nội quy, nhiệm vụ, quyền hạn, trách nhiệm của các thành viên Ban coi thi; thống nhất các hướng dẫn cần thiết để giám thị thực hiện và hướng dẫn cho thí sinh thực hiện trong quá trình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mỗi môn thi, trước giờ thi 60 phút, Trưởng ban coi thi họp Ban coi thi; phân công giám thị từng phòng thi theo nguyên tắc không lặp lại giám thị phòng thi đối với môn thi khác trên cùng một phòng thi; phổ biến những hướng dẫn và lưu ý cần thiết cho các giám thị phòng thi và giám thị hành lang đối với môn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Trường hợp cần thiết, khi kết thúc môn thi, Trưởng ban coi thi tổ chức họp Ban coi thi để rút kinh nghiệm.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10. Cách bố trí, sắp xếp trong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các môn thi theo hình thức thi viết, thi trắc nghiệm: mỗi phòng thi bố trí tối đa 50 thí sinh, mỗi thí sinh ngồi một bàn hoặc ngồi cách nhau ít nhất 1 mét. Trước giờ thi 30 phút, giám thị phòng thi đánh số báo danh của thí sinh tại phòng thi và gọi thí sinh vào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các môn thi theo hình thức thi vấn đáp: phòng thi được bố trí bàn cho các thí sinh chuẩn bị trả lời sau khi bốc thăm ngẫu nhiên câu hỏi và bàn để hỏi thi vấn đáp. Đối với môn thi bảo vệ đề án, phòng thi được bố trí như phòng bảo vệ luận án, luận văn.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3. Đối với môn thi theo hình thức thi thực hành: phòng thi phải được bố trí phù hợp với yêu cầu thực hành. Trường hợp thi thực hành trên máy, phòng thí nghiệm và phương tiện khác thì Hội đồng thi phải chuẩn bị máy, phòng thí nghiệm và phương tiện phù hợp với tình huống để thi thực hành.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11.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Chủ tịch Hội đồng thi chỉ đạo Ban đề thi tổ chức việc ra đề thi và trình Chủ tịch Hội đồng thi quyết định lựa chọn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Nội dung đề thi phải căn cứ vào tiêu chuẩn nghiệp vụ của ngạch dự thi, kết cấu đề thi phải bảo đảm tính chính xác, khoa học. Mỗi đề thi phải có đáp án và thang điểm chi tiết. Đề thi phải được đóng trong phong bì, niêm phong và bảo quản theo chế độ tài liệu tuyệt mật; việc giao nhận, mở đề thi đều phải lập biên bản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Đối với mỗi môn thi bằng hình thức thi viết, phải chuẩn bị ít nhất một đề thi chính thức và một đề thi dự phòng.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Đối với mỗi môn thi bằng hình thức thi trắc nghiệm, phải chuẩn bị ít nhất 02 đề thi chính thức và 02 đề thi dự phòng. Đề thi được nhân bản để phát cho từng thí sinh, thí sinh ngồi gần nhau không được sử dụng đề thi giống nhau.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5. Đối với mỗi môn thi bằng hình thức thi vấn đáp, phải chuẩn bị ít nhất 30 đề thi, được nhân bản để thí sinh bốc thăm ngẫu nhiên.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6. Việc nhân bản đề thi (thi viết, thi trắc nghiệm) do Chủ tịch Hội đồng thi quyết định, bảo đảm hoàn thành trước giờ thi 60 phút. Đề thi sau khi nhân bản được niêm phong và bảo quản theo chế độ tài liệu tuyệt mật. Người tham gia nhân bản đề thi phải được cách ly cho đến khi thí sinh bắt đầu làm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12. Giấy làm bài thi, giấy nháp</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hình thức thi viết, giấy làm bài thi được in sẵn theo mẫu quy định, có chữ ký của 02 giám thị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hình thức thi trắc nghiệm, thí sinh làm bài trực tiếp trên trang dành riêng để làm bài.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Giấy nháp: sử dụng thống nhất một loại giấy nháp do Hội đồng thi phát ra, có chữ ký của giám thị tại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13. Xác nhận tình trạng đề thi và mở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Giám thị phòng thi mời 02 đại diện thí sinh kiểm tra niêm phong phong bì đựng đề thi và ký biên bản xác nhận phong bì đựng đề thi được niêm phong theo quy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Trường hợp phong bì đựng đề thi bị mất dấu niêm phong hoặc có dấu hiệu nghi ngờ khác, giám thị phòng thi lập biên bản (có xác nhận của 02 đại diện thí sinh) tại phòng thi; đồng thời thông báo Trưởng ban coi thi để báo cáo Chủ tịch Hội đồng thi xem xét, giải quyết. Trường hợp sau khi đã mở đề thi, nếu phát hiện đề thi có lỗi (đề thi có sai sót, nhầm đề thi, thiếu trang, nhầm trang …) thì giám thị phòng thi (giám thị 1) phải thông báo ngay cho Trưởng ban coi thi để lập biên bản và Trưởng ban coi thi phải báo cáo ngay lên Chủ tịch Hội đồng thi xem xét, giải quyết.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Chỉ có Chủ tịch Hội đồng thi mới có quyền cho phép sử dụng đề thi dự phòng.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14. Cách tính thời gian làm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hình thức thi viết: Thời gian bắt đầu làm bài thi được tính từ sau khi giám thị viết xong đề thi lên bảng và đọc lại hết đề thi; trường hợp đề thi đã được nhân bản để phát cho từng thí sinh thì tính từ giám thị phát đủ đề thi cho thí sinh và đọc lại hết đề thi. Thời gian làm bài thi được ghi trên đề thi, giám thị phòng thi ghi thời gian bắt đầu và thời gian nộp bài lên bảng trong phòng thi. Trường hợp thi viết đề án thì thời gian làm bài là 01 ngày theo hướng dẫn của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hình thức thi trắc nghiệm: Thời gian bắt đầu làm bài thi được tính sau 5 phút kể từ khi phát xong đề thi cho thí sinh. Thời gian làm bài được ghi trên đề thi, giám thị phòng thi ghi thời gian bắt đầu và thời gian nộp bài lên bảng trong phòng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Đối với hình thức thi vấn đáp: Thời gian chuẩn bị và trả lời câu hỏi của mỗi thí sinh tối đa là 30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Đối với hình thức thi thực hành: Thời gian làm bài thi thực hiện theo yêu cầu của đề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5. Đối với hình thức thi bảo vệ đề án: Thời gian bảo vệ đề án của mỗi thí sinh tối đa là 30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lastRenderedPageBreak/>
        <w:t>Điều 15. Thu bài thi và bàn giao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hình thức thi viết và thi trắc nghiệm: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Thu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Khi hết thời gian làm bài thi, giám thị phòng thi yêu cầu thí sinh dừng làm bài và nộp bài thi. Giám thị phòng thi kiểm tra số tờ, số trang của bài thi của từng thí sinh, ghi vào danh sách nộp bài thi và yêu cầu thí sinh, các giám thị phòng thi ký vào danh sách nộp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Bàn giao bài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Giám thị từng phòng thi bàn giao toàn bộ bài thi của thí sinh, đề thi đã nhân bản chưa phát hết cho thí sinh và các văn bản khác có liên quan cho Trưởng ban coi thi. Trưởng ban coi thi bàn giao toàn bộ bài thi cho Ủy viên kiêm Thư ký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Ủy viên kiêm Thư ký Hội đồng thi chỉ được bàn giao bài thi cho Trưởng ban chấm thi sau khi toàn bộ các bài thi của thí sinh đã được đánh số phách và rọc phách.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hình thức thi vấn đáp, thi thực hành hoặc thi bảo vệ đề án: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Kết quả chấm thi phải được tổng hợp vào bảng kết quả thi có chữ ký của các thành viên chấm thi và giao ngay cho Trưởng ban chấm thi. Trưởng ban chấm thi niêm phong kết quả trước sự chứng kiến của thành viên chấm thi. Trưởng ban chấm thi bàn giao toàn bộ kết quả cho Ủy viên kiêm Thư ký Hội đồng thi ngay khi kết thúc buổi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Việc giao, nhận bài thi quy định tại khoản 1 và khoản 2 điều này đều phải có biên bản xác nhận đối với từng môn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16.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Trưởng ban chấm thi tổ chức, quản lý việc chấm thi tập trung tại địa điểm quy định, không được mang bài thi của thí sinh ra khỏi địa điểm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Thành viên chấm thi chỉ căn cứ vào nội dung bài thi và đáp án, thang điểm đã được Chủ tịch Hội đồng thi phê duyệt để chấm thi. Chỉ chấm những bài thi hợp lệ là bài thi làm trên giấy do Hội đồng thi phát, có đủ chữ ký của 02 giám thị phòng thi. Không chấm những bài làm trên giấy khác với giấy dùng cho kỳ thi đó, bài làm trên giấy nháp, bài có nhiều chữ khác nhau hoặc có viết, vẽ trái với thuần phong mỹ tục, bài có đánh dấu, bài viết từ 02 loại mực trở lên.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Mỗi bài thi được 02 thành viên chấm thi độc lập; nếu điểm của 02 thành viên chấm chênh lệch như từ 10% trở xuống so với số điểm tối đa thì lấy điểm bình quân; nếu chênh lệch trên 10% so với điểm tối đa thì thực hiện như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Đối với môn thi bằng hình thức thi viết và thi trắc nghiệm thì bài thi đó được chấm lại bởi 02 thành viên chấm thi khác, nếu vẫn chênh lệch trên 10% so với điểm tối đa thì chuyển 02 kết quả lên Trưởng ban chấm thi để báo cáo Chủ tịch Hội đồng thi xem xét, quyết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Đối với môn thi bằng hình thức thi vấn đáp, thi thực hành và thi bảo vệ đề án thì các thành viên chấm thi trao đổi để thống nhất ngay khi kết thúc phần thi đối với thí sinh đó, nếu không thống nhất được thì chuyển kết quả lên Trưởng ban chấm thi để báo cáo Chủ tịch Hội đồng thi xem xét, quyết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Điểm của bài thi phải được thành viên chấm thi ghi rõ bằng số và bằng chữ vào phần dành để ghi điểm trên bài thi và trên bảng tổng hợp điểm chấm thi, nếu có sửa chữa thì phải có chữ ký của 02 thành viên chấm thi ở bên cạnh nơi ghi điểm đã sửa chữa. Trường hợp điểm thi của thí sinh do Chủ tịch Hội đồng thi quyết định theo quy định tại điểm a và điểm b khoản 2 điều này thì Chủ tịch Hội đồng thi cũng phải ký tên vào bên cạnh nơi ghi điểm do Chủ tịch Hội đồng thi đã quyết định.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Sau khi chấm xong bài thi của từng môn thi, từng thành viên chấm thi tổng hợp kết quả thi và ký vào bảng tổng hợp, nộp cho Trưởng ban chấm thi. Trưởng ban chấm thi niêm phong và bàn giao cho Ủy viên kiêm Thư ký Hội đồng thi quản lý theo chế độ tài liệu tuyệt mật.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17. Ghép phách và tổng hợp kết quả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Sau khi tổ chức chấm thi xong mới được tổ chức ghép phách. Trưởng ban phách niêm phong danh sách thí sinh sau khi ghép phách và bàn giao cho Ủy viên kiêm Thư ký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Ủy viên kiêm Thư ký Hội đồng thi chịu trách nhiệm tổ chức tổng hợp kết quả thi sau khi ghép phách và báo cáo Chủ tịch Hội đồng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3. Chủ tịch Hội đồng thi báo cáo người đứng đầu cơ quan có thẩm quyền tổ chức thi nâng ngạch về kết quả kỳ thi nâng ngạch để xem xét, công nhận kết quả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18. Giám sát kỳ thi</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1. Người đứng đầu cơ quan có thẩm quyền tổ chức thi nâng ngạch công chức quy định tại </w:t>
      </w:r>
      <w:bookmarkStart w:id="81" w:name="dc_27"/>
      <w:r>
        <w:rPr>
          <w:rFonts w:ascii="Arial" w:hAnsi="Arial" w:cs="Arial"/>
          <w:color w:val="000000"/>
          <w:sz w:val="18"/>
          <w:szCs w:val="18"/>
        </w:rPr>
        <w:t>Điều 31 Nghị định số 24/2010/NĐ-CP</w:t>
      </w:r>
      <w:bookmarkEnd w:id="81"/>
      <w:r>
        <w:rPr>
          <w:rFonts w:ascii="Arial" w:hAnsi="Arial" w:cs="Arial"/>
          <w:color w:val="000000"/>
          <w:sz w:val="18"/>
          <w:szCs w:val="18"/>
        </w:rPr>
        <w:t> quyết định thành lập Ban giám sát kỳ thi nâng ngạch công chức, gồm các thành viên: Trưởng ban giám sát kỳ thi và các giám sát viên. Nhiệm vụ cụ thể của các giám sát viên do Trưởng ban giám sát kỳ thi phân công.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Nội dung giám sát gồm: việc thực hiện các quy định về tổ chức kỳ thi, về hồ sơ, tiêu chuẩn và điều kiện của người dự thi; về thực hiện quy chế và nội quy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Địa điểm giám sát: tại nơi làm việc của Hội đồng thi, nơi tổ chức thi, nơi tổ chức đánh số phách, rọc phách, ghép phách và nơi tổ chức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Thành viên Ban giám sát kỳ thi được quyền vào phòng thi và nơi chấm thi; có quyền nhắc nhở thí sinh, thành viên Ban coi thi, Ban phách và Ban chấm thi thực hiện đúng quy chế và nội quy của kỳ thi; khi phát hiện có sai phạm đến mức phải lập biên bản thì có quyền lập biên bản về sai phạm của thí sinh, thành viên Hội đồng thi, thành viên Ban coi thi, Ban phách và Ban chấm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5. Thành viên Ban giám sát kỳ thi khi làm nhiệm vụ phải đeo thẻ và phải tuân thủ đúng quy chế, nội quy của kỳ thi; nếu vi phạm quy chế, nội quy của kỳ thi hoặc làm lộ, lọt bí mật ảnh hưởng đến kết quả của kỳ thi thì Trưởng ban coi thi, Trưởng ban phách, Trưởng ban chấm thi báo cáo Chủ tịch Hội đồng thi để kịp thời báo cáo cơ quan có thẩm quyền tổ chức thi nâng ngạch công chức đình chỉ nhiệm vụ giám sát kỳ thi và xử lý theo quy định của pháp luật.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19. Giải quyết khiếu nại, tố cáo và phúc khảo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Trong quá trình tổ chức kỳ thi, trường hợp có đơn khiếu nại, tố cáo, Hội đồng thi phải xem xét giải quyết trong thời hạn 10 ngày, kể từ ngày nhận được đơn khiếu nại, tố cáo.</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Trong thời hạn 15 ngày, kể từ ngày có thông báo điểm thi, người dự thi có quyền gửi đơn đề nghị phúc khảo kết quả bài thi đến Hội đồng thi. Ủy viên kiêm Thư ký Hội đồng thi tổng hợp, báo cáo Chủ tịch Hội đồng thi để tổ chức chấm phúc khảo và thông báo kết quả chấm phúc khảo cho người có đơn đề nghị phúc khảo trong thời hạn 15 ngày, kể từ ngày hết thời hạn nhận đơn phúc khảo theo quy định tại khoản này. Không giải quyết phúc khảo đối với các đơn đề nghị phúc khảo nhận được sau thời gian quy định nêu trên (tính theo ngày đơn thư đến tại bộ phận văn thư của cơ quan có thẩm quyền tổ chức thi nâng ngạch công chức) và các đơn đề nghị phúc khảo gửi bằng thư điện tử, Fax, Telex.</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Chủ tịch Hội đồng thi quyết định thành lập Ban phúc khảo, không bao gồm những thành viên đã tham gia vào Ban chấm thi; kết quả chấm phúc khảo được tổng hợp vào kết quả thi. Sau đó, trong thời hạn 15 ngày, kể từ ngày thông báo kết quả phúc khảo, Chủ tịch Hội đồng thi báo cáo người đứng đầu cơ quan có thẩm quyền tổ chức thi nâng ngạch công chức xem xét, công nhận kết quả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20. Lưu trữ tài liệu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Tài liệu về kỳ thi bao gồm: các văn bản về tổ chức kỳ thi của người đứng đầu cơ quan có thẩm quyền tổ chức thi nâng ngạch công chức, văn bản của Hội đồng thi, biên bản các cuộc họp Hội đồng thi, danh sách tổng hợp người dự thi, đề thi gốc, đáp án và thang điểm của đề thi, biên bản bàn giao đề thi, biên bản xác định tình trạng niêm phong đề thi, biên bản lập về các vi phạm quy chế, nội quy thi, biên bản bàn giao bài thi, biên bản chấm thi, bảng tổng hợp kết quả thi, quyết định công nhận kết quả thi, biên bản phúc khảo, giải quyết khiếu nại, tố cáo và các tài liệu khác (nếu có) của kỳ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Trong thời hạn 30 ngày, kể từ ngày kết thúc kỳ thi (ngày cơ quan có thẩm quyền tổ chức thi nâng ngạch công nhận kết quả kỳ thi), Ủy viên kiêm Thư ký Hội đồng thi chịu trách nhiệm: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Bàn giao cho cơ quan có thẩm quyền tổ chức thi nâng ngạch công chức để lưu trữ, quản lý tài liệu về kỳ thi quy định tại khoản 1 điều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Bàn giao cho cơ quan được phân cấp quản lý hồ sơ công chức toàn bộ hồ sơ cá nhân của người dự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Bài thi và phách do Ủy viên kiêm Thư ký Hội đồng thi lưu trữ trong thời hạn 02 năm, kể từ ngày công bố kết quả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22. Áp dụng quy chế đối với trường hợp ủy quyền tổ chức thi nâng ngạch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Đối với kỳ thi nâng ngạch công chức do cơ quan có thẩm quyền tổ chức thi nâng ngạch ủy quyền cho cơ quan quản lý công chức thực hiện thì việc thành lập Hội đồng thi, việc xây dựng đề thi và tổ chức chấm thi thực hiện theo quyết định của cơ quan có thẩm quyền tổ chức thi nâng ngạch công chức và quy định tại Quy chế này.</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w:t>
      </w:r>
    </w:p>
    <w:p w:rsidR="007413DD" w:rsidRDefault="007413DD" w:rsidP="007413D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82" w:name="loai_phuluc5"/>
      <w:r>
        <w:rPr>
          <w:rFonts w:ascii="Arial" w:hAnsi="Arial" w:cs="Arial"/>
          <w:b/>
          <w:bCs/>
          <w:color w:val="000000"/>
          <w:sz w:val="18"/>
          <w:szCs w:val="18"/>
          <w:shd w:val="clear" w:color="auto" w:fill="FFFF96"/>
        </w:rPr>
        <w:t>Phụ lục số 5</w:t>
      </w:r>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HƯỚNG DẪN</w:t>
      </w:r>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VỀ ĐIỀU KIỆN, NỘI DUNG, HÌNH THỨC THI NÂNG NGẠCH CÔNG CHỨC ĐỐI VỚI CÁC KỲ THI CHƯA ĐỦ ĐIỀU KIỆN THỰC HIỆN THEO NGUYÊN TẮC CẠNH TRANH</w:t>
      </w:r>
      <w:r>
        <w:rPr>
          <w:rFonts w:ascii="Arial" w:hAnsi="Arial" w:cs="Arial"/>
          <w:color w:val="000000"/>
          <w:sz w:val="18"/>
          <w:szCs w:val="18"/>
          <w:shd w:val="clear" w:color="auto" w:fill="FFFF96"/>
        </w:rPr>
        <w:br/>
      </w:r>
      <w:bookmarkEnd w:id="82"/>
      <w:r>
        <w:rPr>
          <w:rFonts w:ascii="Arial" w:hAnsi="Arial" w:cs="Arial"/>
          <w:i/>
          <w:iCs/>
          <w:color w:val="000000"/>
          <w:sz w:val="18"/>
          <w:szCs w:val="18"/>
        </w:rPr>
        <w:t>(Ban hành kèm theo Thông tư số 13/2010/TT-BNV ngày 30 tháng 12 năm 2010 của Bộ Nội vụ)</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1. Phê duyệt kế hoạch thi nâng ngạch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Trong các kỳ thi nâng ngạch chưa đủ điều kiện thực hiện theo nguyên tắc cạnh tranh, số người được cử đi dự không được nhiều hơn so với số chỉ tiêu thi nâng ngạch được Bộ Nội vụ hoặc Ban Tổ chức Trung ương phê duyệt theo thẩm quyền.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Chậm nhất là ngày 31 tháng 3 hàng năm, cơ quan quản lý công chức phải có văn bản báo cáo về số lượng công chức hiện có theo từng ngạch công chức và đăng ký nhu cầu cử công chức có đủ các tiêu chuẩn, điều kiện dự thi nâng ngạch đối với từng ngạch công chức theo mẫu số 2 ban hành kèm theo Thông tư này, gửi Bộ Nội vụ hoặc Ban Tổ chức Trung ương để phê duyệt chỉ tiêu và thống nhất kế hoạch thực hiện theo thẩm quyền.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2. Tiêu chuẩn, điều kiện đăng ký dự thi nâng ngạch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Công chức đăng ký dự thi nâng ngạch phải bảo đảm có đủ các tiêu chuẩn, điều kiện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Được đánh giá là hoàn thành tốt nhiệm vụ trong thời gian 03 (ba) năm liên tục, tính đến năm trước liền kề của năm đăng ký dự thi nâng ngạch; có phẩm chất chính trị, phẩm chất đạo đức tốt; không trong thời gian bị thi hành kỷ luật hoặc đã có thông báo về việc xem xét xử lý kỷ luật của cơ quan có thẩm quyền;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Có năng lực, trình độ chuyên môn, nghiệp vụ để đảm nhận vị trí việc làm tương ứng với ngạch công chức cao hơn ngạch công chức hiện giữ trong cùng ngành chuyên môn;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Có đủ các tiêu chuẩn về văn bằng, chứng chỉ, các đề án, công trình theo quy định về tiêu chuẩn nghiệp vụ của ngạch dự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Điều kiện về thời gian giữ ngạch và hệ số lương:</w:t>
      </w:r>
    </w:p>
    <w:p w:rsidR="007413DD" w:rsidRDefault="007413DD" w:rsidP="007413DD">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18"/>
          <w:szCs w:val="18"/>
        </w:rPr>
        <w:t>Căn cứ vào thời gian giữ ngạch và căn cứ vào hệ số lương hiện hưởng của công chức theo bảng lương số 2 (Bảng lương chuyên môn nghiệp vụ đối với cán bộ, công chức trong các cơ quan nhà nước ban hành kèm theo Nghị định số </w:t>
      </w:r>
      <w:hyperlink r:id="rId32" w:tgtFrame="_blank" w:tooltip="Nghị định 204/2004/NĐ-CP" w:history="1">
        <w:r>
          <w:rPr>
            <w:rStyle w:val="Hyperlink"/>
            <w:rFonts w:ascii="Arial" w:hAnsi="Arial" w:cs="Arial"/>
            <w:color w:val="0E70C3"/>
            <w:sz w:val="18"/>
            <w:szCs w:val="18"/>
            <w:u w:val="none"/>
          </w:rPr>
          <w:t>204/2004/NĐ-CP</w:t>
        </w:r>
      </w:hyperlink>
      <w:r>
        <w:rPr>
          <w:rFonts w:ascii="Arial" w:hAnsi="Arial" w:cs="Arial"/>
          <w:color w:val="000000"/>
          <w:sz w:val="18"/>
          <w:szCs w:val="18"/>
        </w:rPr>
        <w:t> ngày 14 tháng 12 năm 2004 của Chính phủ về chế độ tiền lương đối với cán bộ, công chức, viên chức và lực lượng vũ trang), quy định điều kiện về thời gian giữ ngạch và hệ số lương để công chức được đăng ký dự thi nâng ngạch đối với các kỳ thi chưa đủ điều kiện tổ chức theo chuyên tắc cạnh tranh như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Đối với kỳ thi nâng ngạch lên cán sự, chuyên viên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Thời gian giữ ngạch: có thời gian giữ ngạch nhân viên, cán sự hoặc tương đương từ đủ 03 năm trở lên (không kể thời gian tập sự, thử việc), trong đó phải có thời gian công tác ở ngạch công chức hiện giữ từ đủ 12 tháng trở lên tính đến thời điểm đăng ký dự thi nâng ngạch;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Hệ số lương: không quy định điều kiện về hệ số lương;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Đối với kỳ thi nâng ngạch lên chuyên viên chính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Thời gian giữ ngạch: có thời gian giữ ngạch chuyên viên hoặc tương đương từ đủ 09 năm trở lên (không kể thời gian tập sự, thử việc), trong đó phải có thời gian công tác ở ngạch công chức hiện giữ từ đủ 12 tháng trở lên tính đến thời điểm đăng ký dự thi nâng ngạch;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Hệ số lương: đạt hệ số lương từ 3,66 trở lên nếu dự thi vào các ngạch công chức xếp lương theo nhóm 1 (A2.1); đạt hệ số lương từ 3,33 trở lên nếu dự thi vào các ngạch công chức xếp lương theo nhóm 2 (A2.2);</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Đối với kỳ thi nâng ngạch lên chuyên viên cao cấp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 Thời gian giữ ngạch: có thời gian giữ ngạch chuyên viên chính hoặc tương đương từ đủ 06 năm trở lên, trong đó phải có thời gian công tác ở ngạch công chức hiện giữ từ đủ 12 tháng trở lên tính đến thời điểm đăng ký dự thi nâng ngạch;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Hệ số lương: đạt hệ số lương từ 5,42 trở lên nếu dự thi vào các ngạch công chức xếp lương theo nhóm 1 (A3.1); đạt hệ số lương từ 5,02 trở lên nếu dự thi vào các ngạch công chức xếp lương theo nhóm 2 (A3.2).</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3. Cử công chức dự thi nâng ngạch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kỳ thi nâng ngạch lên cán sự, chuyên viên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Người đứng đầu cơ quan quản lý công chức xem xét, quyết định danh sách công chức có đủ các tiêu chuẩn, điều kiện dự thi nâng ngạch trong phạm vi chỉ tiêu thi nâng ngạch đã được Bộ Nội vụ hoặc Ban Tổ chức Trung ương phê duyệt, bảo đảm phù hợp với yêu cầu của vị trí việc làm và trình độ, năng lực chuyên môn, nghiệp vụ của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kỳ thi nâng ngạch lên chuyên viên chính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Căn cứ thông báo của cơ quan có thẩm quyền tổ chức thi nâng ngạch công chức, người đứng đầu cơ quan quản lý công chức xem xét, quyết định cử công chức có đủ các tiêu chuẩn, điều kiện dự thi nâng ngạch trong phạm vi chỉ tiêu thi nâng ngạch đã được Bộ Nội vụ hoặc Ban Tổ chức Trung ương phê duyệt, bảo đảm phù hợp với yêu cầu của vị trí việc làm và trình độ, năng lực chuyên môn, nghiệp vụ của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Người đứng đầu cơ quan quản lý công chức có văn bản cử công chức dự thi nâng ngạch kèm theo danh sách công chức theo mẫu số 4 ban hành kèm theo Thông tư này, gủi cơ quan có thẩm quyền tổ chức thi nâng ngạch và chịu trách nhiệm về các tiêu chuẩn, điều kiện của công chức dự thi nâng ngạch.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Đối với kỳ thi nâng ngạch lên chuyên viên cao cấp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Căn cứ thông báo của cơ quan có thẩm quyền tổ chức thi nâng ngạch công chức, người đứng đầu cơ quan quản lý công chức xem xét, quyết định cử công chức có đủ các tiêu chuẩn, điều kiện dự thi nâng ngạch trong phạm vi chỉ tiêu thi nâng ngạch đã được Bộ Nội vụ hoặc Ban Tổ chức Trung ương phê duyệt, bảo đảm phù hợp với yêu cầu của vị trí việc làm và trình độ, năng lực chuyên môn, nghiệp vụ của công chức;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Người đứng đầu cơ quan quản lý công chức có văn bản cử công chức dự thi nâng ngạch kèm theo hồ sơ đăng ký dự thi và danh sách cụ thể từng công chức theo mẫu số 4 ban hành kèm theo Thông tư này, gửi Bộ Nội vụ, hoặc Ban Tổ chức Trung ương để quyết định danh sách công chức có đủ các tiêu chuẩn, điều kiện dự thi nâng ngạch theo thẩm quyền.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4. Nội dung, hình thức thi nâng ngạch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kỳ thi nâng ngạch lên cán sự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Môn kiến thức chung: thi viết về hệ thống chính trị, tổ chức bộ máy của Đảng, Nhà nước, các tổ chức chính trị - xã hội; quản lý hành chính nhà nước; chủ trương, đường lối, chính sách của Đảng, pháp luật của Nhà nước về ngành, lĩnh vực của ngạch dự thi. Thời gian thi đối với kỳ thi nâng ngạch công chức hành chính là 90 phút; đối với kỳ thi nâng ngạch công chức chuyên ngành là 60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Môn chuyên môn, nghiệp vụ: đối với kỳ thi nâng ngạch công chức hành chính thi trắc nghiệm thời gian 30 phút; đối với kỳ thi nâng ngạch công chức chuyên ngành, thi viết, thời gian là 90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Môn ngoại ngữ: thi viết để kiểm tra về các kỹ năng đọc hiểu, viết ở trình độ A (một trong năm thứ tiếng: Anh, Pháp, Nga, Đức, Trung Quốc). Thời gian thi là 60 phút (nếu tiêu chuẩn nghiệp vụ của ngạch dự thi yêu cầu phải có trình độ ngoại ngữ);</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Môn tin học văn phòng: thi trắc nghiệm hoặc thi thực hành trên máy về hệ điều hành Windows, sử dụng các ứng dụng của Microsoft Office, sử dụng Internet. Thời gian thi là 30 phút (nếu tiêu chuẩn nghiệp vụ của ngạch dự thi yêu cầu phải có trình độ tin học).</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kỳ thi nâng ngạch lên chuyên viên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Môn kiến thức chung: thi viết về hệ thống chính trị, tổ chức bộ máy của Đảng, Nhà nước, các tổ chức chính trị - xã hội; quản lý hành chính nhà nước; chủ trương, đường lối, chính sách của Đảng, pháp luật của Nhà nước về ngành, lĩnh vực của ngạch dự thi. Thời gian thi đối với kỳ thi nâng ngạch công chức hành chính là 120 phút; đối với kỳ thi nâng ngạch công chức chuyên ngành là 90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b) Môn chuyên môn, nghiệp vụ: đối với kỳ thi nâng ngạch công chức hành chính thi trắc nghiệm thời gian 30 phút; đối với kỳ thi nâng ngạch công chức chuyên ngành, thi viết, thời gian là 120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Môn ngoại ngữ: thi viết để kiểm tra về các kỹ năng đọc hiểu, viết ở trình độ B (một trong năm thứ tiếng: Anh, Pháp, Nga, Đức, Trung Quốc). Thời gian thi là 60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Môn tin học văn phòng: thi trắc nghiệm hoặc thi thực hành trên máy về hệ điều hành Windows, sử dụng các ứng dụng của Microsoft Office, sử dụng Internet. Thời gian thi là 30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3. Đối với kỳ thi nâng ngạch lên chuyên viên chính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Môn kiến thức chung: thi viết về hệ thống chính trị, tổ chức bộ máy của Đảng, Nhà nước, các tổ chức chính trị - xã hội; quản lý hành chính nhà nước; chủ trương, đường lối, chính sách của Đảng, pháp luật của Nhà nước về ngành, lĩnh vực của ngạch dự thi. Thời gian thi đối với kỳ thi nâng ngạch công chức hành chính là 180 phút; đối với kỳ thi nâng ngạch công chức chuyên ngành là 120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Môn chuyên môn, nghiệp vụ: đối với kỳ thi nâng ngạch công chức hành chính, thi trắc nghiệm, thời gian thi là 45 phút; đối với kỳ thi nâng ngạch công chức chuyên ngành, thi viết, thời gian là 180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Môn ngoại ngữ: thi viết để kiểm tra về các kỹ năng đọc hiểu, viết ở trình độ B (một trong năm thứ tiếng: Anh, Pháp, Nga, Đức, Trung Quốc). Thời gian thi là 90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Môn tin học văn phòng: thi trắc nghiệm hoặc thi thực hành trên máy về hệ điều hành Windows, sử dụng các ứng dụng của Microsoft Office, sử dụng Internet. Thời gian thi là 45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4. Đối với kỳ thi nâng ngạch lên chuyên viên cao cấp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Môn kiến thức chung: thi viết về hệ thống chính trị, tổ chức bộ máy của Đảng, Nhà nước, các tổ chức chính trị - xã hội; quản lý hành chính nhà nước; chủ trương, đường lối, chính sách của Đảng, pháp luật của Nhà nước về ngành, lĩnh vực của ngạch dự thi. Thời gian thi là 180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Môn chuyên môn, nghiệp vụ: thi viết đề án và bảo vệ đề án theo yêu cầu về chuyên môn, nghiệp vụ của ngạch dự thi. Thời gian thi viết đề án trong 01 ngày và thời gian bảo vệ đề án là 30 phút đối với mỗi người;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c) Môn ngoại ngữ: thi viết để kiểm tra về các kỹ năng đọc hiểu, viết, nghe và phỏng vấn để kiểm tra kỹ năng nói ở trình độ C (một trong năm thứ tiếng: Anh, Pháp, Nga, Đức, Trung Quốc). Thời gian thi viết là 90 phút và thời gian phỏng vấn là 15 phút đối với mỗi người;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d) Môn tin học văn phòng: thi trắc nghiệm hoặc thi thực hành trên máy về hệ điều hành Windows, sử dụng các ứng dụng của Microsoft Office, sử dụng Internet. Thời gian thi là 45 phút.</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5. Điều kiện miễn một số môn thi trong kỳ thi nâng ngạch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Đối với các kỳ thi nâng ngạch lên cán sự, chuyên viên, chuyên viên chính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Miễn thi môn ngoại ngữ đối với trường hợp khi có một trong các điều kiện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chức tính đến ngày 31 tháng 12 của năm tổ chức thi nâng ngạch có tuổi đời từ đủ 55 tuổi trở lên đối với nam và từ đủ 50 tuổi trở lên đối với nữ;</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chức đang làm việc ở vùng dân tộc thiểu số, có chứng chỉ đào tạo tiếng dân tộc thiểu số do cơ sở đào tạo cấp theo thẩm quyền;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chức là người dân tộc thiểu số đang làm việc ở vùng dân tộc thiểu số;</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chức có bằng tốt nghiệp thứ hai là bằng ngoại ngữ cùng trình độ đào tạo hoặc ở trình độ đào tạo cao hơn so với trình độ đào tạo chuyên môn, nghiệp vụ quy định trong tiêu chuẩn nghiệp vụ của ngạch dự thi;</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chức có bằng tốt nghiệp theo yêu cầu trình độ đào tạo hoặc ở trình độ đào tạo cao hơn so với trình độ đào tạo chuyên môn, nghiệp vụ quy định trong tiêu chuẩn nghiệp vụ của ngạch dự thi ở nước ngoài hoặc học bằng tiếng nước ngoài ở Việt Nam.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Miễn thi môn tin học đối với công chức đã tốt nghiệp từ trung cấp chuyên ngành công nghệ thông tin trở lên.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Đối với kỳ thi nâng ngạch lên chuyên viên cao cấp hoặc tương đương:</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a) Miễn thi môn ngoại ngữ đối với trường hợp khi có một trong các điều kiện sau:</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 Công chức có bằng đại học thứ hai là bằng ngoại ngữ;</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Công chức tốt nghiệp đại học, sau đại học ở nước ngoài hoặc tốt nghiệp đại học, sau đại học học bằng tiếng nước ngoài ở Việt Nam.</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b) Miễn thi môn tin học đối với công chức đã tốt nghiệp từ trung cấp chuyên ngành công nghệ thông tin trở lên.</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Điều 6. Thang điểm và nguyên tắc xác định người trúng tuyển trong kỳ thi nâng ngạch</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1. Mỗi bài thi được chấm theo thang điểm 100.</w:t>
      </w:r>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2. Người trúng tuyển trong kỳ thi nâng ngạch là người phải thi đủ các bài thi của các môn thi theo quy định và có số điểm của mỗi bài thi đạt từ 55 điểm trở lên.</w:t>
      </w:r>
    </w:p>
    <w:p w:rsidR="007413DD" w:rsidRDefault="007413DD" w:rsidP="007413DD">
      <w:r>
        <w:rPr>
          <w:rFonts w:ascii="Arial" w:hAnsi="Arial" w:cs="Arial"/>
          <w:color w:val="000000"/>
          <w:sz w:val="20"/>
          <w:szCs w:val="20"/>
          <w:shd w:val="clear" w:color="auto" w:fill="FFFFFF"/>
        </w:rPr>
        <w:br w:type="textWrapping" w:clear="all"/>
      </w:r>
    </w:p>
    <w:p w:rsidR="007413DD" w:rsidRDefault="007413DD" w:rsidP="007413D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83" w:name="loai_pl_7"/>
      <w:r>
        <w:rPr>
          <w:rFonts w:ascii="Arial" w:hAnsi="Arial" w:cs="Arial"/>
          <w:b/>
          <w:bCs/>
          <w:color w:val="000000"/>
          <w:sz w:val="18"/>
          <w:szCs w:val="18"/>
        </w:rPr>
        <w:t>Mẫu số 1</w:t>
      </w:r>
      <w:bookmarkEnd w:id="83"/>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Tên Bộ, ngành, địa phương: </w:t>
      </w:r>
      <w:r>
        <w:rPr>
          <w:rFonts w:ascii="Arial" w:hAnsi="Arial" w:cs="Arial"/>
          <w:color w:val="000000"/>
          <w:sz w:val="18"/>
          <w:szCs w:val="18"/>
        </w:rPr>
        <w:t>……………………………..</w:t>
      </w:r>
    </w:p>
    <w:p w:rsidR="007413DD" w:rsidRDefault="007413DD" w:rsidP="007413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4" w:name="loai_pl_7_name"/>
      <w:r>
        <w:rPr>
          <w:rFonts w:ascii="Arial" w:hAnsi="Arial" w:cs="Arial"/>
          <w:b/>
          <w:bCs/>
          <w:color w:val="000000"/>
          <w:sz w:val="18"/>
          <w:szCs w:val="18"/>
        </w:rPr>
        <w:t>BÁO CÁO SỐ LƯỢNG, CƠ CẤU NGẠCH CÔNG CHỨC HIỆN CÓ</w:t>
      </w:r>
      <w:bookmarkEnd w:id="84"/>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5" w:name="loai_pl_7_name_name"/>
      <w:r>
        <w:rPr>
          <w:rFonts w:ascii="Arial" w:hAnsi="Arial" w:cs="Arial"/>
          <w:b/>
          <w:bCs/>
          <w:color w:val="000000"/>
          <w:sz w:val="18"/>
          <w:szCs w:val="18"/>
        </w:rPr>
        <w:t>VÀ ĐỀ NGHỊ SỐ LƯỢNG CHỈ TIÊU NÂNG NGẠCH CỦA TỪNG NGẠCH CÔNG CHỨC NĂM …</w:t>
      </w:r>
      <w:bookmarkEnd w:id="85"/>
    </w:p>
    <w:p w:rsidR="007413DD" w:rsidRDefault="007413DD" w:rsidP="007413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(Ban hành kèm theo Thông tư số 13/2010/TT-BNV ngày 30 tháng 12 năm 2010 của Bộ Nội vụ)</w:t>
      </w:r>
    </w:p>
    <w:tbl>
      <w:tblPr>
        <w:tblW w:w="131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
        <w:gridCol w:w="2276"/>
        <w:gridCol w:w="814"/>
        <w:gridCol w:w="1005"/>
        <w:gridCol w:w="1005"/>
        <w:gridCol w:w="877"/>
        <w:gridCol w:w="886"/>
        <w:gridCol w:w="844"/>
        <w:gridCol w:w="1006"/>
        <w:gridCol w:w="1006"/>
        <w:gridCol w:w="866"/>
        <w:gridCol w:w="855"/>
        <w:gridCol w:w="1107"/>
      </w:tblGrid>
      <w:tr w:rsidR="007413DD" w:rsidTr="007413DD">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TT</w:t>
            </w:r>
          </w:p>
        </w:tc>
        <w:tc>
          <w:tcPr>
            <w:tcW w:w="23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Tên cơ quan, tổ chức, đơn vị</w:t>
            </w:r>
          </w:p>
        </w:tc>
        <w:tc>
          <w:tcPr>
            <w:tcW w:w="8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Tổng số</w:t>
            </w:r>
          </w:p>
        </w:tc>
        <w:tc>
          <w:tcPr>
            <w:tcW w:w="464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Số lượng, cơ cấu ngạch công chức hiện có</w:t>
            </w:r>
          </w:p>
        </w:tc>
        <w:tc>
          <w:tcPr>
            <w:tcW w:w="371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Đề nghị số lượng chỉ tiêu nâng ngạch của từng ngạch công chức</w:t>
            </w:r>
          </w:p>
        </w:tc>
        <w:tc>
          <w:tcPr>
            <w:tcW w:w="11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Ghi chú</w:t>
            </w:r>
          </w:p>
        </w:tc>
      </w:tr>
      <w:tr w:rsidR="007413DD" w:rsidTr="007413D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13DD" w:rsidRDefault="007413DD"/>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CVCC hoặc tương đương</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CVC hoặc tương đương</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CV hoặc tương đương</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CS hoặc tương đương</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Nhân viên</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CVCC hoặc tương đương</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CVC hoặc tương đương</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CV hoặc tương đương</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CS hoặc tương đương</w:t>
            </w:r>
          </w:p>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(2)</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(3)</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(4)</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(5)</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(6)</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(7)</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(8)</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(9)</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(10)</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(11)</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(13)</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b/>
                <w:bCs/>
              </w:rPr>
              <w:t>I</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rPr>
                <w:b/>
                <w:bCs/>
              </w:rPr>
              <w:t>Ngạch hành chính</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 </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 </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b/>
                <w:bCs/>
              </w:rPr>
              <w:t>II</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rPr>
                <w:b/>
                <w:bCs/>
              </w:rPr>
              <w:t>Ngạch thanh tra</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 </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 </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b/>
                <w:bCs/>
              </w:rPr>
              <w:t>III</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rPr>
                <w:b/>
                <w:bCs/>
              </w:rPr>
              <w:t>Ngạch kế toán</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 </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 </w:t>
            </w:r>
          </w:p>
        </w:tc>
        <w:tc>
          <w:tcPr>
            <w:tcW w:w="235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bl>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chú: Mẫu báo cáo này áp dụng trong kỳ thi nâng ngạch theo nguyên tắc cạnh tranh được gửi kèm theo văn bản của cơ quan quản lý công chức gửi Bộ Nội vụ hoặc Ban Tổ chức Trung ương.</w:t>
      </w:r>
    </w:p>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095"/>
        <w:gridCol w:w="4427"/>
      </w:tblGrid>
      <w:tr w:rsidR="007413DD" w:rsidTr="007413DD">
        <w:trPr>
          <w:tblCellSpacing w:w="0" w:type="dxa"/>
        </w:trPr>
        <w:tc>
          <w:tcPr>
            <w:tcW w:w="658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lastRenderedPageBreak/>
              <w:t> </w:t>
            </w:r>
          </w:p>
        </w:tc>
        <w:tc>
          <w:tcPr>
            <w:tcW w:w="658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 ngày ….. tháng ….. năm 20 ……..</w:t>
            </w:r>
            <w:r>
              <w:br/>
            </w:r>
            <w:r>
              <w:rPr>
                <w:b/>
                <w:bCs/>
              </w:rPr>
              <w:t>Thủ trưởng Bộ, ngành, địa phương</w:t>
            </w:r>
            <w:r>
              <w:rPr>
                <w:b/>
                <w:bCs/>
              </w:rPr>
              <w:br/>
            </w:r>
            <w:r>
              <w:rPr>
                <w:i/>
                <w:iCs/>
              </w:rPr>
              <w:t>(Ký tên, đóng dấu)</w:t>
            </w:r>
          </w:p>
        </w:tc>
      </w:tr>
    </w:tbl>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w:t>
      </w:r>
    </w:p>
    <w:p w:rsidR="007413DD" w:rsidRDefault="007413DD" w:rsidP="007413D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86" w:name="loai_phuluc8"/>
      <w:r>
        <w:rPr>
          <w:rFonts w:ascii="Arial" w:hAnsi="Arial" w:cs="Arial"/>
          <w:b/>
          <w:bCs/>
          <w:color w:val="000000"/>
          <w:sz w:val="18"/>
          <w:szCs w:val="18"/>
        </w:rPr>
        <w:t>Mẫu số 2</w:t>
      </w:r>
      <w:bookmarkEnd w:id="86"/>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Tên Bộ, ngành, địa phương: </w:t>
      </w:r>
      <w:r>
        <w:rPr>
          <w:rFonts w:ascii="Arial" w:hAnsi="Arial" w:cs="Arial"/>
          <w:color w:val="000000"/>
          <w:sz w:val="18"/>
          <w:szCs w:val="18"/>
        </w:rPr>
        <w:t>……………………………..</w:t>
      </w:r>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7" w:name="loai_phuluc8_name"/>
      <w:r>
        <w:rPr>
          <w:rFonts w:ascii="Arial" w:hAnsi="Arial" w:cs="Arial"/>
          <w:b/>
          <w:bCs/>
          <w:color w:val="000000"/>
          <w:sz w:val="18"/>
          <w:szCs w:val="18"/>
        </w:rPr>
        <w:t>BÁO CÁO SỐ LƯỢNG CÔNG CHỨC HIỆN CÓ VÀ ĐĂNG KÝ NHU CẦU CỬ CÔNG CHỨC </w:t>
      </w:r>
      <w:bookmarkEnd w:id="87"/>
      <w:r>
        <w:rPr>
          <w:rFonts w:ascii="Arial" w:hAnsi="Arial" w:cs="Arial"/>
          <w:b/>
          <w:bCs/>
          <w:color w:val="000000"/>
          <w:sz w:val="18"/>
          <w:szCs w:val="18"/>
        </w:rPr>
        <w:br/>
      </w:r>
      <w:bookmarkStart w:id="88" w:name="loai_phuluc8_name_name"/>
      <w:r>
        <w:rPr>
          <w:rFonts w:ascii="Arial" w:hAnsi="Arial" w:cs="Arial"/>
          <w:b/>
          <w:bCs/>
          <w:color w:val="000000"/>
          <w:sz w:val="18"/>
          <w:szCs w:val="18"/>
        </w:rPr>
        <w:t>CÓ ĐỦ CÁC TIÊU CHUẨN, ĐIỀU KIỆN DỰ THI NÂNG NGẠCH </w:t>
      </w:r>
      <w:bookmarkEnd w:id="88"/>
      <w:r>
        <w:rPr>
          <w:rFonts w:ascii="Arial" w:hAnsi="Arial" w:cs="Arial"/>
          <w:b/>
          <w:bCs/>
          <w:color w:val="000000"/>
          <w:sz w:val="18"/>
          <w:szCs w:val="18"/>
        </w:rPr>
        <w:t>NĂM …..</w:t>
      </w:r>
    </w:p>
    <w:p w:rsidR="007413DD" w:rsidRDefault="007413DD" w:rsidP="007413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(Ban hành kèm theo Thông tư số      /2010/TT-BNV ngày   tháng     năm 2010 của Bộ Nội vụ)</w:t>
      </w:r>
    </w:p>
    <w:tbl>
      <w:tblPr>
        <w:tblW w:w="131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2046"/>
        <w:gridCol w:w="1060"/>
        <w:gridCol w:w="1003"/>
        <w:gridCol w:w="1003"/>
        <w:gridCol w:w="877"/>
        <w:gridCol w:w="931"/>
        <w:gridCol w:w="798"/>
        <w:gridCol w:w="1004"/>
        <w:gridCol w:w="1004"/>
        <w:gridCol w:w="866"/>
        <w:gridCol w:w="855"/>
        <w:gridCol w:w="1101"/>
      </w:tblGrid>
      <w:tr w:rsidR="007413DD" w:rsidTr="007413DD">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TT</w:t>
            </w:r>
          </w:p>
        </w:tc>
        <w:tc>
          <w:tcPr>
            <w:tcW w:w="20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Ngạch công chức chuyên ngành</w:t>
            </w:r>
          </w:p>
        </w:tc>
        <w:tc>
          <w:tcPr>
            <w:tcW w:w="10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Tổng số</w:t>
            </w:r>
          </w:p>
        </w:tc>
        <w:tc>
          <w:tcPr>
            <w:tcW w:w="464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Số lượng công chức hiện có theo từng ngạch công chức</w:t>
            </w:r>
          </w:p>
        </w:tc>
        <w:tc>
          <w:tcPr>
            <w:tcW w:w="371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Đăng ký nhu cầu cử công chức có đủ các tiêu chuẩn, điều kiện dự thi nâng ngạch</w:t>
            </w:r>
          </w:p>
        </w:tc>
        <w:tc>
          <w:tcPr>
            <w:tcW w:w="11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Ghi chú</w:t>
            </w:r>
          </w:p>
        </w:tc>
      </w:tr>
      <w:tr w:rsidR="007413DD" w:rsidTr="007413D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13DD" w:rsidRDefault="007413DD"/>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CVCC hoặc tương đương</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CVC hoặc tương đương</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CV hoặc tương đương</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CS hoặc tương đương</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Nhân viên</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CVCC hoặc tương đương</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CVC hoặc tương đương</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CV hoặc tương đương</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CS hoặc tương đương</w:t>
            </w:r>
          </w:p>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(3)</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(4)</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(5)</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(6)</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(7)</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(8)</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(9)</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(10)</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(11)</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(13)</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1</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Hành chính</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2</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Thanh tra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3</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Kế toán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4</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Thuế</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5</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Hải quan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6</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Quản lý thị trường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7</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Ngân hàng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bl>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chú: Mẫu báo cáo này áp dụng trong kỳ thi nâng ngạch chưa theo nguyên tắc cạnh tranh được gửi kèm theo văn bản của cơ quan quản lý công chức gửi Bộ Nội vụ hoặc Ban Tổ chức Trung ương.</w:t>
      </w:r>
    </w:p>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095"/>
        <w:gridCol w:w="4427"/>
      </w:tblGrid>
      <w:tr w:rsidR="007413DD" w:rsidTr="007413DD">
        <w:trPr>
          <w:tblCellSpacing w:w="0" w:type="dxa"/>
        </w:trPr>
        <w:tc>
          <w:tcPr>
            <w:tcW w:w="658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 </w:t>
            </w:r>
          </w:p>
        </w:tc>
        <w:tc>
          <w:tcPr>
            <w:tcW w:w="658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 ngày ….. tháng ….. năm 20 ……..</w:t>
            </w:r>
            <w:r>
              <w:br/>
            </w:r>
            <w:r>
              <w:rPr>
                <w:b/>
                <w:bCs/>
              </w:rPr>
              <w:t>Thủ trưởng Bộ, ngành, địa phương </w:t>
            </w:r>
            <w:r>
              <w:rPr>
                <w:b/>
                <w:bCs/>
              </w:rPr>
              <w:br/>
            </w:r>
            <w:r>
              <w:rPr>
                <w:i/>
                <w:iCs/>
              </w:rPr>
              <w:t>(Ký tên, đóng dấu)</w:t>
            </w:r>
          </w:p>
        </w:tc>
      </w:tr>
    </w:tbl>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t> </w:t>
      </w:r>
    </w:p>
    <w:p w:rsidR="007413DD" w:rsidRDefault="007413DD" w:rsidP="007413D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89" w:name="loai_pl_9"/>
      <w:r>
        <w:rPr>
          <w:rFonts w:ascii="Arial" w:hAnsi="Arial" w:cs="Arial"/>
          <w:b/>
          <w:bCs/>
          <w:color w:val="000000"/>
          <w:sz w:val="18"/>
          <w:szCs w:val="18"/>
        </w:rPr>
        <w:t>Mẫu số 3</w:t>
      </w:r>
      <w:bookmarkEnd w:id="89"/>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lastRenderedPageBreak/>
        <w:t>Tên Bộ, ngành, địa phương: </w:t>
      </w:r>
      <w:r>
        <w:rPr>
          <w:rFonts w:ascii="Arial" w:hAnsi="Arial" w:cs="Arial"/>
          <w:color w:val="000000"/>
          <w:sz w:val="18"/>
          <w:szCs w:val="18"/>
        </w:rPr>
        <w:t>……………………………..</w:t>
      </w:r>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0" w:name="loai_pl_9_name"/>
      <w:r>
        <w:rPr>
          <w:rFonts w:ascii="Arial" w:hAnsi="Arial" w:cs="Arial"/>
          <w:b/>
          <w:bCs/>
          <w:color w:val="000000"/>
          <w:sz w:val="18"/>
          <w:szCs w:val="18"/>
        </w:rPr>
        <w:t>DANH SÁCH CÔNG CHỨC CÓ ĐỦ CÁC TIÊU CHUẨN, ĐIỀU KIỆN</w:t>
      </w:r>
      <w:r>
        <w:rPr>
          <w:rFonts w:ascii="Arial" w:hAnsi="Arial" w:cs="Arial"/>
          <w:b/>
          <w:bCs/>
          <w:color w:val="000000"/>
          <w:sz w:val="18"/>
          <w:szCs w:val="18"/>
        </w:rPr>
        <w:br/>
        <w:t>DỰ THI NÂNG NGẠCH TỪ NGẠCH ….. LÊN NGẠCH …. NĂM..............</w:t>
      </w:r>
      <w:bookmarkEnd w:id="90"/>
    </w:p>
    <w:p w:rsidR="007413DD" w:rsidRDefault="007413DD" w:rsidP="007413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(Ban hành kèm theo Thông tư số 13/2010/TT-BNV ngày 30 tháng 12 năm 2010 của Bộ Nội vụ)</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
        <w:gridCol w:w="315"/>
        <w:gridCol w:w="422"/>
        <w:gridCol w:w="322"/>
        <w:gridCol w:w="452"/>
        <w:gridCol w:w="422"/>
        <w:gridCol w:w="562"/>
        <w:gridCol w:w="481"/>
        <w:gridCol w:w="487"/>
        <w:gridCol w:w="560"/>
        <w:gridCol w:w="462"/>
        <w:gridCol w:w="544"/>
        <w:gridCol w:w="462"/>
        <w:gridCol w:w="462"/>
        <w:gridCol w:w="422"/>
        <w:gridCol w:w="381"/>
        <w:gridCol w:w="495"/>
        <w:gridCol w:w="495"/>
        <w:gridCol w:w="381"/>
      </w:tblGrid>
      <w:tr w:rsidR="007413DD" w:rsidTr="007413DD">
        <w:trPr>
          <w:tblCellSpacing w:w="0" w:type="dxa"/>
        </w:trPr>
        <w:tc>
          <w:tcPr>
            <w:tcW w:w="370" w:type="dxa"/>
            <w:vMerge w:val="restart"/>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TT</w:t>
            </w:r>
          </w:p>
        </w:tc>
        <w:tc>
          <w:tcPr>
            <w:tcW w:w="1224"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Họ và tên</w:t>
            </w:r>
          </w:p>
        </w:tc>
        <w:tc>
          <w:tcPr>
            <w:tcW w:w="984"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Ngày tháng năm sinh</w:t>
            </w:r>
          </w:p>
        </w:tc>
        <w:tc>
          <w:tcPr>
            <w:tcW w:w="702"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Chức vụ hoặc chức danh công tác</w:t>
            </w:r>
          </w:p>
        </w:tc>
        <w:tc>
          <w:tcPr>
            <w:tcW w:w="670"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Cơ quan đơn vị đang làm việc</w:t>
            </w:r>
          </w:p>
        </w:tc>
        <w:tc>
          <w:tcPr>
            <w:tcW w:w="878"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Thời gian giữ ngạch (kể cả ngạch tương đương)</w:t>
            </w:r>
          </w:p>
        </w:tc>
        <w:tc>
          <w:tcPr>
            <w:tcW w:w="1459"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Mức lương hiện hưởng</w:t>
            </w:r>
          </w:p>
        </w:tc>
        <w:tc>
          <w:tcPr>
            <w:tcW w:w="3503" w:type="dxa"/>
            <w:gridSpan w:val="5"/>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Văn bằng, chứng chỉ theo yêu cầu của ngạch dự thi</w:t>
            </w:r>
          </w:p>
        </w:tc>
        <w:tc>
          <w:tcPr>
            <w:tcW w:w="653"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Có đề án, công trình</w:t>
            </w:r>
          </w:p>
        </w:tc>
        <w:tc>
          <w:tcPr>
            <w:tcW w:w="1300"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Được miễn thi</w:t>
            </w:r>
          </w:p>
        </w:tc>
        <w:tc>
          <w:tcPr>
            <w:tcW w:w="735"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Ngoại ngữ đăng ký thi</w:t>
            </w:r>
          </w:p>
        </w:tc>
        <w:tc>
          <w:tcPr>
            <w:tcW w:w="565"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Ghi chú</w:t>
            </w:r>
          </w:p>
        </w:tc>
      </w:tr>
      <w:tr w:rsidR="007413DD" w:rsidTr="007413D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13DD" w:rsidRDefault="007413DD"/>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c>
          <w:tcPr>
            <w:tcW w:w="53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Nam</w:t>
            </w:r>
          </w:p>
        </w:tc>
        <w:tc>
          <w:tcPr>
            <w:tcW w:w="44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Nữ</w:t>
            </w:r>
          </w:p>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c>
          <w:tcPr>
            <w:tcW w:w="7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Hệ số lương</w:t>
            </w:r>
          </w:p>
        </w:tc>
        <w:tc>
          <w:tcPr>
            <w:tcW w:w="7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Mã số ngạch hiện giữ</w:t>
            </w:r>
          </w:p>
        </w:tc>
        <w:tc>
          <w:tcPr>
            <w:tcW w:w="85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Trình độ chuyên môn</w:t>
            </w:r>
          </w:p>
        </w:tc>
        <w:tc>
          <w:tcPr>
            <w:tcW w:w="64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Trình độ lý luận chính trị</w:t>
            </w:r>
          </w:p>
        </w:tc>
        <w:tc>
          <w:tcPr>
            <w:tcW w:w="69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Trình độ QLNN</w:t>
            </w:r>
          </w:p>
        </w:tc>
        <w:tc>
          <w:tcPr>
            <w:tcW w:w="60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Trình độ tin học</w:t>
            </w:r>
          </w:p>
        </w:tc>
        <w:tc>
          <w:tcPr>
            <w:tcW w:w="7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Trình độ ngoại ngữ</w:t>
            </w:r>
          </w:p>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c>
          <w:tcPr>
            <w:tcW w:w="56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Tin học</w:t>
            </w:r>
          </w:p>
        </w:tc>
        <w:tc>
          <w:tcPr>
            <w:tcW w:w="73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t>Ngoại ngữ</w:t>
            </w:r>
          </w:p>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r>
      <w:tr w:rsidR="007413DD" w:rsidTr="007413DD">
        <w:trPr>
          <w:tblCellSpacing w:w="0" w:type="dxa"/>
        </w:trPr>
        <w:tc>
          <w:tcPr>
            <w:tcW w:w="37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jc w:val="center"/>
            </w:pPr>
            <w:r>
              <w:rPr>
                <w:i/>
                <w:iCs/>
              </w:rPr>
              <w:t>(1)</w:t>
            </w:r>
          </w:p>
        </w:tc>
        <w:tc>
          <w:tcPr>
            <w:tcW w:w="1224"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jc w:val="center"/>
            </w:pPr>
            <w:r>
              <w:rPr>
                <w:i/>
                <w:iCs/>
              </w:rPr>
              <w:t>(2)</w:t>
            </w:r>
          </w:p>
        </w:tc>
        <w:tc>
          <w:tcPr>
            <w:tcW w:w="539"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jc w:val="center"/>
            </w:pPr>
            <w:r>
              <w:rPr>
                <w:i/>
                <w:iCs/>
              </w:rPr>
              <w:t>(3)</w:t>
            </w:r>
          </w:p>
        </w:tc>
        <w:tc>
          <w:tcPr>
            <w:tcW w:w="44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jc w:val="center"/>
            </w:pPr>
            <w:r>
              <w:rPr>
                <w:i/>
                <w:iCs/>
              </w:rPr>
              <w:t>(4)</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jc w:val="center"/>
            </w:pPr>
            <w:r>
              <w:rPr>
                <w:i/>
                <w:iCs/>
              </w:rPr>
              <w:t>(5)</w:t>
            </w:r>
          </w:p>
        </w:tc>
        <w:tc>
          <w:tcPr>
            <w:tcW w:w="67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jc w:val="center"/>
            </w:pPr>
            <w:r>
              <w:rPr>
                <w:i/>
                <w:iCs/>
              </w:rPr>
              <w:t>(6)</w:t>
            </w:r>
          </w:p>
        </w:tc>
        <w:tc>
          <w:tcPr>
            <w:tcW w:w="87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jc w:val="center"/>
            </w:pPr>
            <w:r>
              <w:rPr>
                <w:i/>
                <w:iCs/>
              </w:rPr>
              <w:t>(7)</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jc w:val="center"/>
            </w:pPr>
            <w:r>
              <w:rPr>
                <w:i/>
                <w:iCs/>
              </w:rPr>
              <w:t>(8)</w:t>
            </w:r>
          </w:p>
        </w:tc>
        <w:tc>
          <w:tcPr>
            <w:tcW w:w="7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jc w:val="center"/>
            </w:pPr>
            <w:r>
              <w:rPr>
                <w:i/>
                <w:iCs/>
              </w:rPr>
              <w:t>(9)</w:t>
            </w:r>
          </w:p>
        </w:tc>
        <w:tc>
          <w:tcPr>
            <w:tcW w:w="8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jc w:val="center"/>
            </w:pPr>
            <w:r>
              <w:rPr>
                <w:i/>
                <w:iCs/>
              </w:rPr>
              <w:t>(10)</w:t>
            </w:r>
          </w:p>
        </w:tc>
        <w:tc>
          <w:tcPr>
            <w:tcW w:w="64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jc w:val="center"/>
            </w:pPr>
            <w:r>
              <w:rPr>
                <w:i/>
                <w:iCs/>
              </w:rPr>
              <w:t>(11)</w:t>
            </w:r>
          </w:p>
        </w:tc>
        <w:tc>
          <w:tcPr>
            <w:tcW w:w="696"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jc w:val="center"/>
            </w:pPr>
            <w:r>
              <w:rPr>
                <w:i/>
                <w:iCs/>
              </w:rPr>
              <w:t>(12)</w:t>
            </w:r>
          </w:p>
        </w:tc>
        <w:tc>
          <w:tcPr>
            <w:tcW w:w="60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jc w:val="center"/>
            </w:pPr>
            <w:r>
              <w:rPr>
                <w:i/>
                <w:iCs/>
              </w:rPr>
              <w:t>(13)</w:t>
            </w:r>
          </w:p>
        </w:tc>
        <w:tc>
          <w:tcPr>
            <w:tcW w:w="7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rPr>
                <w:i/>
                <w:iCs/>
              </w:rPr>
              <w:t>(14)</w:t>
            </w:r>
          </w:p>
        </w:tc>
        <w:tc>
          <w:tcPr>
            <w:tcW w:w="65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rPr>
                <w:i/>
                <w:iCs/>
              </w:rPr>
              <w:t>(15)</w:t>
            </w:r>
          </w:p>
        </w:tc>
        <w:tc>
          <w:tcPr>
            <w:tcW w:w="56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rPr>
                <w:i/>
                <w:iCs/>
              </w:rPr>
              <w:t>(16)</w:t>
            </w:r>
          </w:p>
        </w:tc>
        <w:tc>
          <w:tcPr>
            <w:tcW w:w="73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rPr>
                <w:i/>
                <w:iCs/>
              </w:rPr>
              <w:t>(17)</w:t>
            </w:r>
          </w:p>
        </w:tc>
        <w:tc>
          <w:tcPr>
            <w:tcW w:w="73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rPr>
                <w:i/>
                <w:iCs/>
              </w:rPr>
              <w:t>(18)</w:t>
            </w:r>
          </w:p>
        </w:tc>
        <w:tc>
          <w:tcPr>
            <w:tcW w:w="56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7413DD" w:rsidRDefault="007413DD">
            <w:pPr>
              <w:pStyle w:val="NormalWeb"/>
              <w:spacing w:before="120" w:beforeAutospacing="0" w:after="120" w:afterAutospacing="0" w:line="234" w:lineRule="atLeast"/>
              <w:jc w:val="center"/>
            </w:pPr>
            <w:r>
              <w:rPr>
                <w:i/>
                <w:iCs/>
              </w:rPr>
              <w:t>(19)</w:t>
            </w:r>
          </w:p>
        </w:tc>
      </w:tr>
      <w:tr w:rsidR="007413DD" w:rsidTr="007413DD">
        <w:trPr>
          <w:tblCellSpacing w:w="0" w:type="dxa"/>
        </w:trPr>
        <w:tc>
          <w:tcPr>
            <w:tcW w:w="37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1224"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39"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44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7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4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96"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0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53"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37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1224"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39"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44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7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4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96"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0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53"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37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1224"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39"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44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7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4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96"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0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53"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37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1224"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39"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44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7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4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96"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0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53"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37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1224"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39"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44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7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4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96"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0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53"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37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1224"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39"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44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7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4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96"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0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53"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37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1224"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39"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44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7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4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96"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0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53"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37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1224"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39"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44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7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4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96"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0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53"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37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1224"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39"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44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7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4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96"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0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53"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37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1224"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39"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44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7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7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857"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48"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96"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00"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02"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653"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73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c>
          <w:tcPr>
            <w:tcW w:w="565" w:type="dxa"/>
            <w:tcBorders>
              <w:top w:val="nil"/>
              <w:left w:val="nil"/>
              <w:bottom w:val="single" w:sz="8" w:space="0" w:color="auto"/>
              <w:right w:val="single" w:sz="8" w:space="0" w:color="auto"/>
            </w:tcBorders>
            <w:tcMar>
              <w:top w:w="0" w:type="dxa"/>
              <w:left w:w="58" w:type="dxa"/>
              <w:bottom w:w="0" w:type="dxa"/>
              <w:right w:w="58" w:type="dxa"/>
            </w:tcMar>
            <w:hideMark/>
          </w:tcPr>
          <w:p w:rsidR="007413DD" w:rsidRDefault="007413DD">
            <w:pPr>
              <w:pStyle w:val="NormalWeb"/>
              <w:spacing w:before="120" w:beforeAutospacing="0" w:after="120" w:afterAutospacing="0" w:line="234" w:lineRule="atLeast"/>
            </w:pPr>
            <w:r>
              <w:t> </w:t>
            </w:r>
          </w:p>
        </w:tc>
      </w:tr>
    </w:tbl>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chú: Mẫu báo cáo này áp dụng đối với các kỳ thi nâng ngạch (theo nguyên tắc cạnh tranh và chưa theo nguyên tắc cạnh tranh) được gửi kèm theo văn bản của cơ quan quản lý công chức gửi Bộ Nội vụ hoặc Ban Tổ chức Trung ương.</w:t>
      </w:r>
    </w:p>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095"/>
        <w:gridCol w:w="4427"/>
      </w:tblGrid>
      <w:tr w:rsidR="007413DD" w:rsidTr="007413DD">
        <w:trPr>
          <w:tblCellSpacing w:w="0" w:type="dxa"/>
        </w:trPr>
        <w:tc>
          <w:tcPr>
            <w:tcW w:w="658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 </w:t>
            </w:r>
          </w:p>
        </w:tc>
        <w:tc>
          <w:tcPr>
            <w:tcW w:w="658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 ngày ….. tháng ….. năm 20 ……..</w:t>
            </w:r>
            <w:r>
              <w:br/>
            </w:r>
            <w:r>
              <w:rPr>
                <w:b/>
                <w:bCs/>
              </w:rPr>
              <w:lastRenderedPageBreak/>
              <w:t>Thủ trưởng Bộ, ngành, địa phương </w:t>
            </w:r>
            <w:r>
              <w:rPr>
                <w:b/>
                <w:bCs/>
              </w:rPr>
              <w:br/>
            </w:r>
            <w:r>
              <w:rPr>
                <w:i/>
                <w:iCs/>
              </w:rPr>
              <w:t>(Ký tên, đóng dấu)</w:t>
            </w:r>
          </w:p>
        </w:tc>
      </w:tr>
    </w:tbl>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18"/>
          <w:szCs w:val="18"/>
        </w:rPr>
        <w:lastRenderedPageBreak/>
        <w:t> </w:t>
      </w:r>
    </w:p>
    <w:p w:rsidR="007413DD" w:rsidRDefault="007413DD" w:rsidP="007413DD">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91" w:name="loai_pl_10"/>
      <w:r>
        <w:rPr>
          <w:rFonts w:ascii="Arial" w:hAnsi="Arial" w:cs="Arial"/>
          <w:b/>
          <w:bCs/>
          <w:color w:val="000000"/>
          <w:sz w:val="18"/>
          <w:szCs w:val="18"/>
        </w:rPr>
        <w:t>Mẫu số 4</w:t>
      </w:r>
      <w:bookmarkEnd w:id="91"/>
    </w:p>
    <w:p w:rsidR="007413DD" w:rsidRDefault="007413DD" w:rsidP="007413DD">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18"/>
          <w:szCs w:val="18"/>
        </w:rPr>
        <w:t>Tên Bộ, ngành, địa phương: </w:t>
      </w:r>
      <w:r>
        <w:rPr>
          <w:rFonts w:ascii="Arial" w:hAnsi="Arial" w:cs="Arial"/>
          <w:color w:val="000000"/>
          <w:sz w:val="18"/>
          <w:szCs w:val="18"/>
        </w:rPr>
        <w:t>……………………………..</w:t>
      </w:r>
    </w:p>
    <w:p w:rsidR="007413DD" w:rsidRDefault="007413DD" w:rsidP="007413D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2" w:name="loai_pl_10_name"/>
      <w:r>
        <w:rPr>
          <w:rFonts w:ascii="Arial" w:hAnsi="Arial" w:cs="Arial"/>
          <w:b/>
          <w:bCs/>
          <w:color w:val="000000"/>
          <w:sz w:val="18"/>
          <w:szCs w:val="18"/>
        </w:rPr>
        <w:t>DANH SÁCH CÔNG CHỨC ĐƯỢC BỔ NHIỆM NGẠCH SAU KHI TRÚNG TUYỂN</w:t>
      </w:r>
      <w:r>
        <w:rPr>
          <w:rFonts w:ascii="Arial" w:hAnsi="Arial" w:cs="Arial"/>
          <w:b/>
          <w:bCs/>
          <w:color w:val="000000"/>
          <w:sz w:val="18"/>
          <w:szCs w:val="18"/>
        </w:rPr>
        <w:br/>
        <w:t>KỲ THI NÂNG NGẠCH TỪ NGẠCH….. LÊN NGẠCH …. NĂM..........</w:t>
      </w:r>
      <w:bookmarkEnd w:id="92"/>
    </w:p>
    <w:p w:rsidR="007413DD" w:rsidRDefault="007413DD" w:rsidP="007413D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(Ban hành kèm theo Thông tư số 13/2010/TT-BNV ngày 30 tháng 12 năm 2010 của Bộ Nội vụ)</w:t>
      </w:r>
    </w:p>
    <w:tbl>
      <w:tblPr>
        <w:tblW w:w="131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1958"/>
        <w:gridCol w:w="703"/>
        <w:gridCol w:w="710"/>
        <w:gridCol w:w="931"/>
        <w:gridCol w:w="934"/>
        <w:gridCol w:w="934"/>
        <w:gridCol w:w="933"/>
        <w:gridCol w:w="933"/>
        <w:gridCol w:w="935"/>
        <w:gridCol w:w="935"/>
        <w:gridCol w:w="933"/>
        <w:gridCol w:w="934"/>
        <w:gridCol w:w="790"/>
      </w:tblGrid>
      <w:tr w:rsidR="007413DD" w:rsidTr="007413DD">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TT</w:t>
            </w:r>
          </w:p>
        </w:tc>
        <w:tc>
          <w:tcPr>
            <w:tcW w:w="20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Họ và tên</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Ngày sinh</w:t>
            </w:r>
          </w:p>
        </w:tc>
        <w:tc>
          <w:tcPr>
            <w:tcW w:w="9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t>Cơ quan, đơn vị đang làm việc</w:t>
            </w:r>
          </w:p>
        </w:tc>
        <w:tc>
          <w:tcPr>
            <w:tcW w:w="376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Ngạch, bậc lương hiện hưởng trước khi thi nâng ngạch</w:t>
            </w:r>
          </w:p>
        </w:tc>
        <w:tc>
          <w:tcPr>
            <w:tcW w:w="376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b/>
                <w:bCs/>
              </w:rPr>
              <w:t>Ngạch, bậc lương được bổ nhiệm sau khi trúng tuyển kỳ thi nâng ngạch</w:t>
            </w:r>
          </w:p>
        </w:tc>
        <w:tc>
          <w:tcPr>
            <w:tcW w:w="7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b/>
                <w:bCs/>
              </w:rPr>
              <w:t>Ghi chú</w:t>
            </w:r>
          </w:p>
        </w:tc>
      </w:tr>
      <w:tr w:rsidR="007413DD" w:rsidTr="007413D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13DD" w:rsidRDefault="007413DD"/>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t>Nam</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t>Nữ</w:t>
            </w:r>
          </w:p>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t>Thời gian giữ ngạch (kể cả ngạch TĐ)</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t>Mã số ngạch hiện giữ</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t>Hệ số lương</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t>Thời gian xét nâng bậc lương lần sau</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t>Ngày bổ nhiệm ngạch</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t>Mã số ngạch được bổ nhiệm</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t>Hệ số lương</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t>Thời gian xét nâng bậc lương lần sau</w:t>
            </w:r>
          </w:p>
        </w:tc>
        <w:tc>
          <w:tcPr>
            <w:tcW w:w="0" w:type="auto"/>
            <w:vMerge/>
            <w:tcBorders>
              <w:top w:val="single" w:sz="8" w:space="0" w:color="auto"/>
              <w:left w:val="nil"/>
              <w:bottom w:val="single" w:sz="8" w:space="0" w:color="auto"/>
              <w:right w:val="single" w:sz="8" w:space="0" w:color="auto"/>
            </w:tcBorders>
            <w:vAlign w:val="center"/>
            <w:hideMark/>
          </w:tcPr>
          <w:p w:rsidR="007413DD" w:rsidRDefault="007413DD"/>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(2)</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(4)</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(5)</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(6)</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(7)</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(8)</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(9)</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(10)</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(11)</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(12)</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rPr>
                <w:i/>
                <w:iCs/>
              </w:rPr>
              <w:t>(13)</w:t>
            </w:r>
          </w:p>
        </w:tc>
        <w:tc>
          <w:tcPr>
            <w:tcW w:w="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3DD" w:rsidRDefault="007413DD">
            <w:pPr>
              <w:pStyle w:val="NormalWeb"/>
              <w:spacing w:before="120" w:beforeAutospacing="0" w:after="120" w:afterAutospacing="0" w:line="234" w:lineRule="atLeast"/>
              <w:jc w:val="center"/>
            </w:pPr>
            <w:r>
              <w:rPr>
                <w:i/>
                <w:iCs/>
              </w:rPr>
              <w:t>(14)</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r w:rsidR="007413DD" w:rsidTr="007413DD">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7413DD" w:rsidRDefault="007413DD">
            <w:pPr>
              <w:pStyle w:val="NormalWeb"/>
              <w:spacing w:before="120" w:beforeAutospacing="0" w:after="120" w:afterAutospacing="0" w:line="234" w:lineRule="atLeast"/>
            </w:pPr>
            <w:r>
              <w:t> </w:t>
            </w:r>
          </w:p>
        </w:tc>
      </w:tr>
    </w:tbl>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Ghi chú: Mẫu báo cáo này áp dụng chung đối với các kỳ thi nâng ngạch (theo nguyên tắc cạnh tranh và chưa theo nguyên tắc cạnh tranh) được gửi kèm theo văn bản của cơ quan quản lý công chức gửi Bộ Nội vụ hoặc Ban Tổ chức Trung ương.</w:t>
      </w:r>
    </w:p>
    <w:p w:rsidR="007413DD" w:rsidRDefault="007413DD" w:rsidP="007413D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095"/>
        <w:gridCol w:w="4427"/>
      </w:tblGrid>
      <w:tr w:rsidR="007413DD" w:rsidTr="007413DD">
        <w:trPr>
          <w:tblCellSpacing w:w="0" w:type="dxa"/>
        </w:trPr>
        <w:tc>
          <w:tcPr>
            <w:tcW w:w="658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 </w:t>
            </w:r>
          </w:p>
        </w:tc>
        <w:tc>
          <w:tcPr>
            <w:tcW w:w="6588" w:type="dxa"/>
            <w:tcMar>
              <w:top w:w="0" w:type="dxa"/>
              <w:left w:w="108" w:type="dxa"/>
              <w:bottom w:w="0" w:type="dxa"/>
              <w:right w:w="108" w:type="dxa"/>
            </w:tcMar>
            <w:hideMark/>
          </w:tcPr>
          <w:p w:rsidR="007413DD" w:rsidRDefault="007413DD">
            <w:pPr>
              <w:pStyle w:val="NormalWeb"/>
              <w:spacing w:before="120" w:beforeAutospacing="0" w:after="120" w:afterAutospacing="0" w:line="234" w:lineRule="atLeast"/>
              <w:jc w:val="center"/>
            </w:pPr>
            <w:r>
              <w:t>……….., ngày ….. tháng ….. năm 20 ……..</w:t>
            </w:r>
            <w:r>
              <w:br/>
            </w:r>
            <w:r>
              <w:rPr>
                <w:b/>
                <w:bCs/>
              </w:rPr>
              <w:t>Thủ trưởng Bộ, ngành, địa phương </w:t>
            </w:r>
            <w:r>
              <w:rPr>
                <w:b/>
                <w:bCs/>
              </w:rPr>
              <w:br/>
            </w:r>
            <w:r>
              <w:rPr>
                <w:i/>
                <w:iCs/>
              </w:rPr>
              <w:t>(Ký tên, đóng dấu)</w:t>
            </w:r>
          </w:p>
        </w:tc>
      </w:tr>
    </w:tbl>
    <w:p w:rsidR="00D9790B" w:rsidRPr="007413DD" w:rsidRDefault="00D9790B" w:rsidP="007413DD"/>
    <w:sectPr w:rsidR="00D9790B" w:rsidRPr="007413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3458E1"/>
    <w:rsid w:val="0039048A"/>
    <w:rsid w:val="004028ED"/>
    <w:rsid w:val="004E6BDE"/>
    <w:rsid w:val="00613A0C"/>
    <w:rsid w:val="007413DD"/>
    <w:rsid w:val="00784A0F"/>
    <w:rsid w:val="00864A6D"/>
    <w:rsid w:val="008744E9"/>
    <w:rsid w:val="009516E0"/>
    <w:rsid w:val="009522D3"/>
    <w:rsid w:val="00AD1DF5"/>
    <w:rsid w:val="00B25BFB"/>
    <w:rsid w:val="00C337FD"/>
    <w:rsid w:val="00CD006A"/>
    <w:rsid w:val="00D0197B"/>
    <w:rsid w:val="00D13C3C"/>
    <w:rsid w:val="00D2502B"/>
    <w:rsid w:val="00D33A33"/>
    <w:rsid w:val="00D36AF1"/>
    <w:rsid w:val="00D65F57"/>
    <w:rsid w:val="00D9790B"/>
    <w:rsid w:val="00E50D37"/>
    <w:rsid w:val="00E9518D"/>
    <w:rsid w:val="00EF5851"/>
    <w:rsid w:val="00F10AD1"/>
    <w:rsid w:val="00F42748"/>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4-2010-nd-cp-tuyen-dung-su-dung-quan-ly-cong-chuc-102412.aspx" TargetMode="External"/><Relationship Id="rId13" Type="http://schemas.openxmlformats.org/officeDocument/2006/relationships/hyperlink" Target="https://thuvienphapluat.vn/van-ban/lao-dong-tien-luong/quyet-dinh-02-2008-qd-bnv-mau-bieu-quan-ly-ho-so-can-bo-cong-chuc-81897.aspx" TargetMode="External"/><Relationship Id="rId18" Type="http://schemas.openxmlformats.org/officeDocument/2006/relationships/hyperlink" Target="https://thuvienphapluat.vn/van-ban/bo-may-hanh-chinh/nghi-dinh-115-2003-nd-cp-che-do-cong-chuc-du-bi-51459.aspx" TargetMode="External"/><Relationship Id="rId26" Type="http://schemas.openxmlformats.org/officeDocument/2006/relationships/hyperlink" Target="https://thuvienphapluat.vn/van-ban/bo-may-hanh-chinh/nghi-dinh-09-2007-nd-cp-tuyen-dung-su-dung-quan-ly-can-bo-cong-chuc-trong-co-quan-nha-nuoc-sua-doi-nghi-dinh-117-2003-nd-cp-16322.aspx" TargetMode="External"/><Relationship Id="rId3" Type="http://schemas.microsoft.com/office/2007/relationships/stylesWithEffects" Target="stylesWithEffects.xml"/><Relationship Id="rId21" Type="http://schemas.openxmlformats.org/officeDocument/2006/relationships/hyperlink" Target="https://thuvienphapluat.vn/van-ban/lao-dong-tien-luong/thong-tu-06-2007-tt-bnv-che-do-cong-chuc-du-bi-huong-dan-nghi-dinh-08-2007-nd-cp-53600.aspx" TargetMode="External"/><Relationship Id="rId34" Type="http://schemas.openxmlformats.org/officeDocument/2006/relationships/theme" Target="theme/theme1.xml"/><Relationship Id="rId7" Type="http://schemas.openxmlformats.org/officeDocument/2006/relationships/hyperlink" Target="https://thuvienphapluat.vn/van-ban/bo-may-hanh-chinh/nghi-dinh-93-2010-nd-cp-sua-doi-nghi-dinh-24-2010-nd-cp-111140.aspx" TargetMode="External"/><Relationship Id="rId12" Type="http://schemas.openxmlformats.org/officeDocument/2006/relationships/hyperlink" Target="https://thuvienphapluat.vn/van-ban/bo-may-hanh-chinh/nghi-dinh-24-2010-nd-cp-tuyen-dung-su-dung-quan-ly-cong-chuc-102412.aspx" TargetMode="External"/><Relationship Id="rId17" Type="http://schemas.openxmlformats.org/officeDocument/2006/relationships/hyperlink" Target="https://thuvienphapluat.vn/van-ban/lao-dong-tien-luong/thong-tu-08-2004-tt-bnv-che-do-cong-chuc-du-bi-huong-dan-thuc-hien-nghi-dinh-115-2003-nd-cp-54918.aspx" TargetMode="External"/><Relationship Id="rId25" Type="http://schemas.openxmlformats.org/officeDocument/2006/relationships/hyperlink" Target="https://thuvienphapluat.vn/van-ban/lao-dong-tien-luong/thong-tu-07-2007-tt-bnv-tuyen-dung-su-dung-quan-ly-can-bo-cong-chuc-co-quan-nha-nuoc-huong-dan-nghi-dinh-09-2007-nd-cp-53684.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lao-dong-tien-luong/thong-tu-02-2007-tt-bnv-huong-dan-xep-luong-nang-ngach-chuyen-ngach-chuyen-loai-cong-chuc-vien-chuc-20779.aspx" TargetMode="External"/><Relationship Id="rId20" Type="http://schemas.openxmlformats.org/officeDocument/2006/relationships/hyperlink" Target="https://thuvienphapluat.vn/van-ban/bo-may-hanh-chinh/nghi-dinh-117-2003-nd-cp-tuyen-su-dung-quan-ly-can-bo-cong-chuc-trong-co-quan-nha-nuoc-51457.aspx" TargetMode="External"/><Relationship Id="rId29" Type="http://schemas.openxmlformats.org/officeDocument/2006/relationships/hyperlink" Target="https://thuvienphapluat.vn/van-ban/lao-dong-tien-luong/quyet-dinh-10-2006-qd-bnv-quy-che-to-chuc-thi-tuyen-thi-nang-ngach-can-bo-cong-chuc-14752.aspx" TargetMode="External"/><Relationship Id="rId1" Type="http://schemas.openxmlformats.org/officeDocument/2006/relationships/numbering" Target="numbering.xml"/><Relationship Id="rId6" Type="http://schemas.openxmlformats.org/officeDocument/2006/relationships/hyperlink" Target="https://thuvienphapluat.vn/van-ban/bo-may-hanh-chinh/nghi-dinh-24-2010-nd-cp-tuyen-dung-su-dung-quan-ly-cong-chuc-102412.aspx" TargetMode="External"/><Relationship Id="rId11" Type="http://schemas.openxmlformats.org/officeDocument/2006/relationships/hyperlink" Target="https://thuvienphapluat.vn/van-ban/bo-may-hanh-chinh/nghi-dinh-24-2010-nd-cp-tuyen-dung-su-dung-quan-ly-cong-chuc-102412.aspx" TargetMode="External"/><Relationship Id="rId24" Type="http://schemas.openxmlformats.org/officeDocument/2006/relationships/hyperlink" Target="https://thuvienphapluat.vn/van-ban/bo-may-hanh-chinh/nghi-dinh-115-2003-nd-cp-che-do-cong-chuc-du-bi-51459.aspx" TargetMode="External"/><Relationship Id="rId32" Type="http://schemas.openxmlformats.org/officeDocument/2006/relationships/hyperlink" Target="https://thuvienphapluat.vn/van-ban/lao-dong-tien-luong/nghi-dinh-204-2004-nd-cp-che-do-tien-luong-doi-voi-can-bo-cong-chuc-vien-chuc-luc-luong-vu-trang-52629.aspx" TargetMode="External"/><Relationship Id="rId5" Type="http://schemas.openxmlformats.org/officeDocument/2006/relationships/webSettings" Target="webSettings.xml"/><Relationship Id="rId15"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23" Type="http://schemas.openxmlformats.org/officeDocument/2006/relationships/hyperlink" Target="https://thuvienphapluat.vn/van-ban/bo-may-hanh-chinh/nghi-dinh-115-2003-nd-cp-che-do-cong-chuc-du-bi-51459.aspx" TargetMode="External"/><Relationship Id="rId28" Type="http://schemas.openxmlformats.org/officeDocument/2006/relationships/hyperlink" Target="https://thuvienphapluat.vn/van-ban/bo-may-hanh-chinh/nghi-dinh-117-2003-nd-cp-tuyen-su-dung-quan-ly-can-bo-cong-chuc-trong-co-quan-nha-nuoc-51457.aspx" TargetMode="External"/><Relationship Id="rId10" Type="http://schemas.openxmlformats.org/officeDocument/2006/relationships/hyperlink" Target="https://thuvienphapluat.vn/van-ban/bo-may-hanh-chinh/nghi-dinh-24-2010-nd-cp-tuyen-dung-su-dung-quan-ly-cong-chuc-102412.aspx" TargetMode="External"/><Relationship Id="rId19" Type="http://schemas.openxmlformats.org/officeDocument/2006/relationships/hyperlink" Target="https://thuvienphapluat.vn/van-ban/lao-dong-tien-luong/thong-tu-09-2004-tt-bnv-tuyen-dung-su-dung-quan-ly-can-bo-cong-chuc-co-quan-nha-nuoc-huong-dan-nghi-dinh-117-2003-nd-cp-51861.aspx" TargetMode="External"/><Relationship Id="rId31" Type="http://schemas.openxmlformats.org/officeDocument/2006/relationships/hyperlink" Target="https://thuvienphapluat.vn/van-ban/lao-dong-tien-luong/thong-tu-07-2008-tt-bnv-quy-dinh-thi-nang-ngach-cong-chuc-70156.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48-2008-nd-cp-chuc-nang-nhiem-vu-quyen-han-co-cau-to-chuc-bo-noi-vu-65074.aspx" TargetMode="External"/><Relationship Id="rId14" Type="http://schemas.openxmlformats.org/officeDocument/2006/relationships/hyperlink" Target="https://thuvienphapluat.vn/van-ban/lao-dong-tien-luong/thong-tu-79-2005-tt-bnv-huong-dan-chuyen-xep-luong-can-doi-cbcnvc-thay-doi-cong-viec-cong-tac-llvt-co-yeu-ctnn-lam-viec-cqnn-don-vi-su-nghiep-nn-2807.aspx" TargetMode="External"/><Relationship Id="rId22" Type="http://schemas.openxmlformats.org/officeDocument/2006/relationships/hyperlink" Target="https://thuvienphapluat.vn/van-ban/bo-may-hanh-chinh/nghi-dinh-08-2007-nd-cp-che-do-cong-chuc-du-bi-sua-doi-nghi-dinh-115-2003-nd-cp-16320.aspx" TargetMode="External"/><Relationship Id="rId27" Type="http://schemas.openxmlformats.org/officeDocument/2006/relationships/hyperlink" Target="https://thuvienphapluat.vn/van-ban/bo-may-hanh-chinh/nghi-dinh-117-2003-nd-cp-tuyen-su-dung-quan-ly-can-bo-cong-chuc-trong-co-quan-nha-nuoc-51457.aspx" TargetMode="External"/><Relationship Id="rId30" Type="http://schemas.openxmlformats.org/officeDocument/2006/relationships/hyperlink" Target="https://thuvienphapluat.vn/van-ban/lao-dong-tien-luong/quyet-dinh-12-2006-qd-bnv-noi-quy-ky-thi-tuyen-thi-nang-ngach-can-bo-cong-chuc-148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20864</Words>
  <Characters>118926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2018-08-21T03:00:00Z</dcterms:created>
  <dcterms:modified xsi:type="dcterms:W3CDTF">2018-08-21T03:00:00Z</dcterms:modified>
</cp:coreProperties>
</file>