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D6300C" w:rsidRPr="00D6300C" w14:paraId="016F5405" w14:textId="77777777" w:rsidTr="00D6300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C5D40" w14:textId="77777777" w:rsidR="00D6300C" w:rsidRPr="00D6300C" w:rsidRDefault="00D6300C" w:rsidP="00D6300C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3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HỘI ĐỒNG THẨM PHÁN</w:t>
            </w:r>
            <w:r w:rsidRPr="00D63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br/>
              <w:t>TÒA ÁN NHÂN DÂN TỐI CAO</w:t>
            </w:r>
            <w:r w:rsidRPr="00D63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24DCB" w14:textId="77777777" w:rsidR="00D6300C" w:rsidRPr="00D6300C" w:rsidRDefault="00D6300C" w:rsidP="00D6300C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3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D63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 </w:t>
            </w:r>
            <w:r w:rsidRPr="00D63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D6300C" w:rsidRPr="00D6300C" w14:paraId="13224A07" w14:textId="77777777" w:rsidTr="00D6300C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6ED2E" w14:textId="77777777" w:rsidR="00D6300C" w:rsidRPr="00D6300C" w:rsidRDefault="00D6300C" w:rsidP="00D6300C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300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S</w:t>
            </w:r>
            <w:r w:rsidRPr="00D6300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ố: 0</w:t>
            </w:r>
            <w:r w:rsidRPr="00D630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Pr="00D6300C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/2017/NQ-HĐTP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5BB60" w14:textId="77777777" w:rsidR="00D6300C" w:rsidRPr="00D6300C" w:rsidRDefault="00D6300C" w:rsidP="00D6300C">
            <w:pPr>
              <w:spacing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30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Hà N</w:t>
            </w:r>
            <w:r w:rsidRPr="00D630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ội, ng</w:t>
            </w:r>
            <w:r w:rsidRPr="00D6300C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ày 13 tháng 01 năm 2017</w:t>
            </w:r>
          </w:p>
        </w:tc>
      </w:tr>
    </w:tbl>
    <w:p w14:paraId="257E98CE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04B8DB66" w14:textId="77777777" w:rsidR="00D6300C" w:rsidRPr="00D6300C" w:rsidRDefault="00D6300C" w:rsidP="00D6300C">
      <w:pPr>
        <w:shd w:val="clear" w:color="auto" w:fill="FFFFFF"/>
        <w:spacing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b/>
          <w:bCs/>
          <w:color w:val="000000"/>
          <w:sz w:val="24"/>
          <w:szCs w:val="24"/>
        </w:rPr>
        <w:t>NGHỊ QUYẾT</w:t>
      </w:r>
    </w:p>
    <w:p w14:paraId="42C59340" w14:textId="77777777" w:rsidR="00D6300C" w:rsidRPr="00D6300C" w:rsidRDefault="00D6300C" w:rsidP="00D6300C">
      <w:pPr>
        <w:shd w:val="clear" w:color="auto" w:fill="FFFFFF"/>
        <w:spacing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</w:rPr>
        <w:t>BAN HÀNH MỘT SỐ BIỂU MẪU TRONG TỐ TỤNG HÀNH CHÍNH</w:t>
      </w:r>
    </w:p>
    <w:p w14:paraId="30AEC4C2" w14:textId="77777777" w:rsidR="00D6300C" w:rsidRPr="00D6300C" w:rsidRDefault="00D6300C" w:rsidP="00D6300C">
      <w:pPr>
        <w:shd w:val="clear" w:color="auto" w:fill="FFFFFF"/>
        <w:spacing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b/>
          <w:bCs/>
          <w:color w:val="000000"/>
          <w:sz w:val="24"/>
          <w:szCs w:val="24"/>
        </w:rPr>
        <w:t>HỘI ĐỒNG THẨM PHÁN TÒA ÁN NHÂN DÂN TỐI CAO</w:t>
      </w:r>
    </w:p>
    <w:p w14:paraId="3BBF1D65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 cứ Luật tổ chức Tòa án nhân dân ngày 24 tháng 11 năm 2014;</w:t>
      </w:r>
    </w:p>
    <w:p w14:paraId="2DD77A25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Để áp dụng đúng và thống nhất biểu mẫu trong tố tụng hành chính;</w:t>
      </w:r>
    </w:p>
    <w:p w14:paraId="3E7597BC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i/>
          <w:iCs/>
          <w:color w:val="000000"/>
          <w:sz w:val="18"/>
          <w:szCs w:val="18"/>
        </w:rPr>
        <w:t>Sau khi có ý kiến thống nhất của Viện trưởng Viện kiểm sát nhân dân tối cao và Bộ trưởng Bộ Tư pháp,</w:t>
      </w:r>
    </w:p>
    <w:p w14:paraId="404AED46" w14:textId="77777777" w:rsidR="00D6300C" w:rsidRPr="00D6300C" w:rsidRDefault="00D6300C" w:rsidP="00D6300C">
      <w:pPr>
        <w:shd w:val="clear" w:color="auto" w:fill="FFFFFF"/>
        <w:spacing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b/>
          <w:bCs/>
          <w:color w:val="000000"/>
          <w:sz w:val="24"/>
          <w:szCs w:val="24"/>
        </w:rPr>
        <w:t>QUYẾT NGHỊ:</w:t>
      </w:r>
    </w:p>
    <w:p w14:paraId="157D7870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Đi</w:t>
      </w:r>
      <w:r w:rsidRPr="00D6300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ều 1. Ban h</w:t>
      </w:r>
      <w:r w:rsidRPr="00D6300C">
        <w:rPr>
          <w:rFonts w:ascii="Arial" w:eastAsia="Times New Roman" w:hAnsi="Arial" w:cs="Arial"/>
          <w:b/>
          <w:bCs/>
          <w:color w:val="000000"/>
          <w:sz w:val="18"/>
          <w:szCs w:val="18"/>
        </w:rPr>
        <w:t>ành bi</w:t>
      </w:r>
      <w:r w:rsidRPr="00D6300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ểu mẫu trong tố tụng h</w:t>
      </w:r>
      <w:r w:rsidRPr="00D6300C">
        <w:rPr>
          <w:rFonts w:ascii="Arial" w:eastAsia="Times New Roman" w:hAnsi="Arial" w:cs="Arial"/>
          <w:b/>
          <w:bCs/>
          <w:color w:val="000000"/>
          <w:sz w:val="18"/>
          <w:szCs w:val="18"/>
        </w:rPr>
        <w:t>ành chính</w:t>
      </w:r>
    </w:p>
    <w:p w14:paraId="09822AA5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1. Ban hành 62 bi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ểu mẫu theo Danh mục k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èm theo Ngh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ị quyết n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ày.</w:t>
      </w:r>
    </w:p>
    <w:p w14:paraId="61AABA21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2. Các bi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ểu mẫu kh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ác s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ẽ tiếp tục được ban 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ành trong th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ời gian tới.</w:t>
      </w:r>
    </w:p>
    <w:p w14:paraId="6DB37B0C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Đi</w:t>
      </w:r>
      <w:r w:rsidRPr="00D6300C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ều 2. Hiệu lực thi h</w:t>
      </w:r>
      <w:r w:rsidRPr="00D6300C">
        <w:rPr>
          <w:rFonts w:ascii="Arial" w:eastAsia="Times New Roman" w:hAnsi="Arial" w:cs="Arial"/>
          <w:b/>
          <w:bCs/>
          <w:color w:val="000000"/>
          <w:sz w:val="18"/>
          <w:szCs w:val="18"/>
        </w:rPr>
        <w:t>ành</w:t>
      </w:r>
    </w:p>
    <w:p w14:paraId="19846D41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Ngh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ị quyết n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ày đã đư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ợc Hội đồng Thẩm ph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 Tòa án nhân dân t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ối cao th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ông qua ngày 06 tháng 01 năm 2017 và có hi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ệu lực thi 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ành k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ể từ ng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ày 24  tháng 02 năm 2017.</w:t>
      </w:r>
    </w:p>
    <w:p w14:paraId="08600DB0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Trong quá trình th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ực hiện (nếu c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ó) nh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ững vướng mắc đề nghị phản 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ánh cho Tòa án nhân dân t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ối cao (th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ông qua V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ụ Ph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áp ch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ế v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à Qu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ản l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ý khoa 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ọc) để c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ó hư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ớng dẫn bổ sung kịp thời.</w:t>
      </w:r>
    </w:p>
    <w:p w14:paraId="67F9DFD1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068"/>
      </w:tblGrid>
      <w:tr w:rsidR="00D6300C" w:rsidRPr="00D6300C" w14:paraId="6B7CBBCE" w14:textId="77777777" w:rsidTr="00D6300C">
        <w:trPr>
          <w:tblCellSpacing w:w="0" w:type="dxa"/>
        </w:trPr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C4EAE" w14:textId="77777777" w:rsidR="00D6300C" w:rsidRPr="00D6300C" w:rsidRDefault="00D6300C" w:rsidP="00D6300C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30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val="en"/>
              </w:rPr>
              <w:t> </w:t>
            </w:r>
          </w:p>
          <w:p w14:paraId="0B336FC9" w14:textId="77777777" w:rsidR="00D6300C" w:rsidRPr="00D6300C" w:rsidRDefault="00D6300C" w:rsidP="00D6300C">
            <w:pPr>
              <w:spacing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30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en"/>
              </w:rPr>
              <w:t>Nơi nh</w:t>
            </w:r>
            <w:r w:rsidRPr="00D630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t>ận:</w:t>
            </w:r>
            <w:r w:rsidRPr="00D630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D6300C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- U</w:t>
            </w:r>
            <w:r w:rsidRPr="00D6300C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ỷ ban thường vụ Quốc hội;</w:t>
            </w:r>
            <w:r w:rsidRPr="00D6300C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br/>
            </w:r>
            <w:r w:rsidRPr="00D6300C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- U</w:t>
            </w:r>
            <w:r w:rsidRPr="00D6300C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ỷ ban ph</w:t>
            </w:r>
            <w:r w:rsidRPr="00D6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áp lu</w:t>
            </w:r>
            <w:r w:rsidRPr="00D6300C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ật của Quốc hội;</w:t>
            </w:r>
            <w:r w:rsidRPr="00D6300C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br/>
            </w:r>
            <w:r w:rsidRPr="00D6300C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- U</w:t>
            </w:r>
            <w:r w:rsidRPr="00D6300C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ỷ ban tư ph</w:t>
            </w:r>
            <w:r w:rsidRPr="00D6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áp c</w:t>
            </w:r>
            <w:r w:rsidRPr="00D6300C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ủa Quốc hội;</w:t>
            </w:r>
            <w:r w:rsidRPr="00D6300C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br/>
            </w:r>
            <w:r w:rsidRPr="00D6300C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- Ban ch</w:t>
            </w:r>
            <w:r w:rsidRPr="00D6300C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ỉ đạo CCTPTƯ;</w:t>
            </w:r>
            <w:r w:rsidRPr="00D6300C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br/>
            </w:r>
            <w:r w:rsidRPr="00D6300C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- Ban N</w:t>
            </w:r>
            <w:r w:rsidRPr="00D6300C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ội ch</w:t>
            </w:r>
            <w:r w:rsidRPr="00D6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ính Trung ương;</w:t>
            </w:r>
            <w:r w:rsidRPr="00D6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D6300C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- Văn phòng Ch</w:t>
            </w:r>
            <w:r w:rsidRPr="00D6300C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ủ tịch nước;</w:t>
            </w:r>
            <w:r w:rsidRPr="00D6300C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br/>
            </w:r>
            <w:r w:rsidRPr="00D6300C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- Văn phòng Chính ph</w:t>
            </w:r>
            <w:r w:rsidRPr="00D6300C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ủ (02 bản);</w:t>
            </w:r>
            <w:r w:rsidRPr="00D6300C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br/>
            </w:r>
            <w:r w:rsidRPr="00D6300C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- Vi</w:t>
            </w:r>
            <w:r w:rsidRPr="00D6300C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ện kiểm s</w:t>
            </w:r>
            <w:r w:rsidRPr="00D6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át nhân dân t</w:t>
            </w:r>
            <w:r w:rsidRPr="00D6300C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ối cao;</w:t>
            </w:r>
            <w:r w:rsidRPr="00D6300C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br/>
            </w:r>
            <w:r w:rsidRPr="00D6300C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- B</w:t>
            </w:r>
            <w:r w:rsidRPr="00D6300C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ộ Tư ph</w:t>
            </w:r>
            <w:r w:rsidRPr="00D6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áp;</w:t>
            </w:r>
            <w:r w:rsidRPr="00D6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D6300C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- Các TAND và TAQS;</w:t>
            </w:r>
            <w:r w:rsidRPr="00D6300C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br/>
              <w:t>- Các Th</w:t>
            </w:r>
            <w:r w:rsidRPr="00D6300C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ẩm ph</w:t>
            </w:r>
            <w:r w:rsidRPr="00D6300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án TANDTC và các đơn v</w:t>
            </w:r>
            <w:r w:rsidRPr="00D6300C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ị thuộc TANDTC;</w:t>
            </w:r>
            <w:r w:rsidRPr="00D6300C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br/>
            </w:r>
            <w:r w:rsidRPr="00D6300C">
              <w:rPr>
                <w:rFonts w:ascii="Arial" w:eastAsia="Times New Roman" w:hAnsi="Arial" w:cs="Arial"/>
                <w:color w:val="000000"/>
                <w:sz w:val="16"/>
                <w:szCs w:val="16"/>
                <w:lang w:val="en"/>
              </w:rPr>
              <w:t>- Lưu: VT (TANDTC, V</w:t>
            </w:r>
            <w:r w:rsidRPr="00D6300C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ụ PC&amp;QLKH).</w:t>
            </w:r>
          </w:p>
        </w:tc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42E30" w14:textId="77777777" w:rsidR="00D6300C" w:rsidRPr="00D6300C" w:rsidRDefault="00D6300C" w:rsidP="00D6300C">
            <w:pPr>
              <w:spacing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63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TM. H</w:t>
            </w:r>
            <w:r w:rsidRPr="00D63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ỘI ĐỒNG THẨM PH</w:t>
            </w:r>
            <w:r w:rsidRPr="00D63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ÁN</w:t>
            </w:r>
            <w:r w:rsidRPr="00D6300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D63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CHÁNH ÁN</w:t>
            </w:r>
            <w:r w:rsidRPr="00D6300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br/>
            </w:r>
            <w:r w:rsidRPr="00D6300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br/>
            </w:r>
            <w:r w:rsidRPr="00D6300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br/>
            </w:r>
            <w:r w:rsidRPr="00D6300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br/>
            </w:r>
            <w:r w:rsidRPr="00D6300C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br/>
            </w:r>
            <w:r w:rsidRPr="00D63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Nguy</w:t>
            </w:r>
            <w:r w:rsidRPr="00D63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ễn H</w:t>
            </w:r>
            <w:r w:rsidRPr="00D630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òa Bình</w:t>
            </w:r>
          </w:p>
        </w:tc>
      </w:tr>
    </w:tbl>
    <w:p w14:paraId="2B3DBBE8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7A5E86AC" w14:textId="77777777" w:rsidR="00D6300C" w:rsidRPr="00D6300C" w:rsidRDefault="00D6300C" w:rsidP="00D6300C">
      <w:pPr>
        <w:shd w:val="clear" w:color="auto" w:fill="FFFFFF"/>
        <w:spacing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b/>
          <w:bCs/>
          <w:color w:val="000000"/>
          <w:sz w:val="24"/>
          <w:szCs w:val="24"/>
          <w:lang w:val="en"/>
        </w:rPr>
        <w:t>DANH MỤC</w:t>
      </w:r>
    </w:p>
    <w:p w14:paraId="17617B0F" w14:textId="77777777" w:rsidR="00D6300C" w:rsidRPr="00D6300C" w:rsidRDefault="00D6300C" w:rsidP="00D6300C">
      <w:pPr>
        <w:shd w:val="clear" w:color="auto" w:fill="FFFFFF"/>
        <w:spacing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62 BI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ỂU MẪU TRONG TỐ TỤNG  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ÀNH CHÍNH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D6300C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(Ban hành kèm theo Ngh</w:t>
      </w:r>
      <w:r w:rsidRPr="00D6300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ị quyết số 02/2017/NQ-HĐTP ng</w:t>
      </w:r>
      <w:r w:rsidRPr="00D6300C">
        <w:rPr>
          <w:rFonts w:ascii="Arial" w:eastAsia="Times New Roman" w:hAnsi="Arial" w:cs="Arial"/>
          <w:i/>
          <w:iCs/>
          <w:color w:val="000000"/>
          <w:sz w:val="18"/>
          <w:szCs w:val="18"/>
        </w:rPr>
        <w:t>ày 13 tháng 01năm 2017 c</w:t>
      </w:r>
      <w:r w:rsidRPr="00D6300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ủa Hội đồng Thẩm ph</w:t>
      </w:r>
      <w:r w:rsidRPr="00D6300C">
        <w:rPr>
          <w:rFonts w:ascii="Arial" w:eastAsia="Times New Roman" w:hAnsi="Arial" w:cs="Arial"/>
          <w:i/>
          <w:iCs/>
          <w:color w:val="000000"/>
          <w:sz w:val="18"/>
          <w:szCs w:val="18"/>
        </w:rPr>
        <w:t>án Tòa án nhân dân t</w:t>
      </w:r>
      <w:r w:rsidRPr="00D6300C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ối cao)</w:t>
      </w:r>
    </w:p>
    <w:p w14:paraId="11BAAA9F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01-HC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 Đơn kh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ởi kiện</w:t>
      </w:r>
    </w:p>
    <w:p w14:paraId="413043C5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02-HC Giấy x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ác nh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ận đ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ã nh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ận đơn khởi kiện</w:t>
      </w:r>
    </w:p>
    <w:p w14:paraId="73A4A445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lastRenderedPageBreak/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03-HC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 Thông báo tr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ả lại đơn khởi kiện</w:t>
      </w:r>
    </w:p>
    <w:p w14:paraId="0E3EE4C1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04-HC Th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ông báo n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ộp tiền tạm ứng 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 phí</w:t>
      </w:r>
    </w:p>
    <w:p w14:paraId="1DDA72FE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05-HC Th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ông báo n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ộp tiền tạm ứng chi ph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í t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ố tụng</w:t>
      </w:r>
    </w:p>
    <w:p w14:paraId="607A3A8F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06-HC Th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ông báo v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ề việc thụ l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ý v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ụ 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</w:t>
      </w:r>
    </w:p>
    <w:p w14:paraId="4C257A4F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07-HC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 Biên b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ản về kiểm tra việc giao nộp, tiếp cận, c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ông khai ch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ứng cứ</w:t>
      </w:r>
    </w:p>
    <w:p w14:paraId="54D1F3ED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08-HC Bi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ên b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ản đối thoại</w:t>
      </w:r>
    </w:p>
    <w:p w14:paraId="1587B307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09-HC Quyết định c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ông nh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ận kết quả đối thoại th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ành, đình ch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ỉ giải quyết vụ 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</w:t>
      </w:r>
    </w:p>
    <w:p w14:paraId="11EBC48D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10-HC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 Quy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ết định tạm đ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ình ch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ỉ giải quyết vụ 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 hành chính (dành cho Th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ẩm ph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án)</w:t>
      </w:r>
    </w:p>
    <w:p w14:paraId="1CE000C2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11-HC Quyết định tạm đ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ình ch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ỉ giải quyết vụ 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 hành chính (dành cho 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ội đồng x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ét x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ử)</w:t>
      </w:r>
    </w:p>
    <w:p w14:paraId="5889DA68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12-HC Quyết định tiếp tục giải quyết vụ 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 hành chính (dành cho Th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ẩm ph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án)</w:t>
      </w:r>
    </w:p>
    <w:p w14:paraId="3B8CB002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13-HC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 Quy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ết định tiếp tục giải quyết vụ 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 hành chính (dành cho 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ội đồng x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ét x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ử)</w:t>
      </w:r>
    </w:p>
    <w:p w14:paraId="1F49099B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14-HC Quyết định đ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ình ch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ỉ giải quyết vụ 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 hành chính (dành cho Th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ẩm ph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án)</w:t>
      </w:r>
    </w:p>
    <w:p w14:paraId="500240B8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15-HC Quyết định đ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ình ch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ỉ giải quyết vụ 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 hành chính (dành cho 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ội đồng x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ét x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ử)</w:t>
      </w:r>
    </w:p>
    <w:p w14:paraId="0179C2A4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16-HC Quyết định đưa vụ 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 ra xét x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ử sơ thẩm</w:t>
      </w:r>
    </w:p>
    <w:p w14:paraId="372CC15B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17-HC Quyết định đưa vụ 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 ra gi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ải quyết sơ thẩm theo thủ tục r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út g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ọn</w:t>
      </w:r>
    </w:p>
    <w:p w14:paraId="4B02873E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18-HC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 Quy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ết định ho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ãn phiên toà</w:t>
      </w:r>
    </w:p>
    <w:p w14:paraId="3B0B29E5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19-HC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 Quy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ết định tạm ngừng phi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ên tòa</w:t>
      </w:r>
    </w:p>
    <w:p w14:paraId="3652FDE6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20-HC Bi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ên b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ản phi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ên toà sơ th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ẩm</w:t>
      </w:r>
    </w:p>
    <w:p w14:paraId="28E333E0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21-HC Bi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ên b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ản nghị 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</w:t>
      </w:r>
    </w:p>
    <w:p w14:paraId="2F49F19E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22-HC Bản 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 hành chính sơ th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ẩm</w:t>
      </w:r>
    </w:p>
    <w:p w14:paraId="42C6FAB0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23-HC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 Quy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ết định sửa chữa, bổ sung bản 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 (quy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ết định)</w:t>
      </w:r>
    </w:p>
    <w:p w14:paraId="668C05EE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24-HC Đơn kh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áng cáo</w:t>
      </w:r>
    </w:p>
    <w:p w14:paraId="24CC6D0E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25-HC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 Gi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ấy x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ác nh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ận đ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ã nh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ận đơn kh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áng cáo</w:t>
      </w:r>
    </w:p>
    <w:p w14:paraId="518073A6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26-HC Th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ông báo v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ề y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êu c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ầu l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àm l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ại hoặc sửa đổi, bổ sung đơn kh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áng cáo</w:t>
      </w:r>
    </w:p>
    <w:p w14:paraId="47E17EAC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27-HC Th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ông báo v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ề y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êu c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ầu tr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ình bày lý do kháng cáo quá 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ạn</w:t>
      </w:r>
    </w:p>
    <w:p w14:paraId="30C55E62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28-HC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 Thông báo tr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ả lại đơn kh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áng cáo</w:t>
      </w:r>
    </w:p>
    <w:p w14:paraId="1EC29D89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29-HC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 Quy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ết định chấp nhận việc kh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áng cáo quá 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ạn</w:t>
      </w:r>
    </w:p>
    <w:p w14:paraId="2B2252A2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30-HC Quyết định kh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ông ch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ấp nhận việc kh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áng cáo quá 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ạn</w:t>
      </w:r>
    </w:p>
    <w:p w14:paraId="5EC8DDBA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31-HC Th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ông báo n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ộp tiền tạm ứng 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 phí phúc th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ẩm</w:t>
      </w:r>
    </w:p>
    <w:p w14:paraId="5AEF1058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32-HC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 Thông báo v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ề việc kh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áng cáo</w:t>
      </w:r>
    </w:p>
    <w:p w14:paraId="2052EFC4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33-HC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 Thông báo v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ề việc thay đổi, bổ sung kh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áng cáo (kháng ngh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ị)</w:t>
      </w:r>
    </w:p>
    <w:p w14:paraId="28C4E5FB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34-HC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 Thông báo v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ề việc r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út kháng cáo (kháng ngh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ị)</w:t>
      </w:r>
    </w:p>
    <w:p w14:paraId="24B7955E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35-HC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 Thông báo v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ề việc thụ l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ý v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ụ 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 đ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ể x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ét x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ử ph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úc th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ẩm</w:t>
      </w:r>
    </w:p>
    <w:p w14:paraId="31EA000E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36-HC Quyết định đưa vụ 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 ra xét x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ử ph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úc th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ẩm</w:t>
      </w:r>
    </w:p>
    <w:p w14:paraId="7910E8CE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37-HC Quyết định đưa vụ 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 ra xét x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ử ph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úc th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ẩm theo thủ tục r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út g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ọn</w:t>
      </w:r>
    </w:p>
    <w:p w14:paraId="18C0313B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38-HC Quyết định tạm đ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ình ch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ỉ x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ét x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ử ph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úc th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ẩm vụ 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 hành chính (dành cho Th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ẩm ph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án)</w:t>
      </w:r>
    </w:p>
    <w:p w14:paraId="202D6ACB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lastRenderedPageBreak/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39-HC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 Quy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ết định tạm đ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ình ch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ỉ x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ét x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ử ph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úc th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ẩm vụ 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 hành chính (dành cho 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ội đồng x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ét x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ử)</w:t>
      </w:r>
    </w:p>
    <w:p w14:paraId="0966B6BB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40-HC Quyết định đ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ình ch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ỉ x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ét x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ử ph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úc th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ẩm vụ 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 hành chính (dành cho Th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ẩm ph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án)</w:t>
      </w:r>
    </w:p>
    <w:p w14:paraId="447CD443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41-HC Quyết định đ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ình ch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ỉ x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ét x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ử ph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úc th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ẩm vụ 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 hành chính (dành cho 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ội đồng x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ét x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ử)</w:t>
      </w:r>
    </w:p>
    <w:p w14:paraId="03E7EE41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42-HC Quyết định huỷ bản 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 sơ th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ẩm v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à đình ch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ỉ giải quyết vụ 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 hành chính</w:t>
      </w:r>
    </w:p>
    <w:p w14:paraId="73ABD3E8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43-HC Quyết định giải quyết việc kh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áng cáo, kháng ngh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ị đối với quyết định tạm đ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ình ch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ỉ (đ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ình ch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ỉ) giải quyết vụ 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</w:t>
      </w:r>
    </w:p>
    <w:p w14:paraId="21ED5023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44-HC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 Quy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ết định ho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ãn phiên tòa hành chính phúc th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ẩm</w:t>
      </w:r>
    </w:p>
    <w:p w14:paraId="28281513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45-HC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 Biên b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ản phi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ên tòa phúc th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ẩm</w:t>
      </w:r>
    </w:p>
    <w:p w14:paraId="24BD42E2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46-HC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 B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ản 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 phúc th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ẩm</w:t>
      </w:r>
    </w:p>
    <w:p w14:paraId="0BBBAECC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47-HC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 Quy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ết định sửa chữa, bổ sung bản 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 phúc th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ẩm</w:t>
      </w:r>
    </w:p>
    <w:p w14:paraId="3A2D81A8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48-HC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 Đơn đ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ề nghị xem x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ét theo th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ủ tục gi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ám đ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ốc thẩm</w:t>
      </w:r>
    </w:p>
    <w:p w14:paraId="7ED3D0AF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49-HC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 Thông báo yêu c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ầu sửa đổi, bổ sung đơn đề nghị xem x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ét theo th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ủ tục gi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ám đ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ốc thẩm</w:t>
      </w:r>
    </w:p>
    <w:p w14:paraId="1EF9D4CB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50-HC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 Gi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ấy x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ác nh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ận đ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ã nh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ận đơn đề nghị xem x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ét theo th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ủ tục gi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ám đ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ốc thẩm</w:t>
      </w:r>
    </w:p>
    <w:p w14:paraId="7165361A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51-HC Th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ông báo gi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ải quyết đơn đề nghị (th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ông báo, ki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ến nghị) xem x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ét theo th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ủ tục gi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ám đ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ốc thẩm</w:t>
      </w:r>
    </w:p>
    <w:p w14:paraId="52D972CA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52-HC Quyết định kh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áng ngh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ị Gi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ám đ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ốc thẩm của Ch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ánh án Tòa án nhân dân t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ối cao</w:t>
      </w:r>
    </w:p>
    <w:p w14:paraId="7B158639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53-HC Quyết định kh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áng ngh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ị Gi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ám đ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ốc thẩm của Ch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ánh án Tòa án nhân dân c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ấp cao</w:t>
      </w:r>
    </w:p>
    <w:p w14:paraId="03CB268E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54-HC Quyết định Gi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ám đ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ốc thẩm của Hội đồng Thẩm ph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 Tòa án nhân dân t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ối cao</w:t>
      </w:r>
    </w:p>
    <w:p w14:paraId="2392D427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55-HC Quyết định Gi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ám đ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ốc thẩm của Ủy ban Thẩm ph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 Tòa án nhân dân c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ấp cao</w:t>
      </w:r>
    </w:p>
    <w:p w14:paraId="52E1A958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56-HC Quyết định 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áp d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ụng biện ph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áp kh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ẩn cấp tạm thời (d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ành cho Th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ẩm ph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án)</w:t>
      </w:r>
    </w:p>
    <w:p w14:paraId="362A7241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57-HC Quyết định buộc thi 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ành án hành chính</w:t>
      </w:r>
    </w:p>
    <w:p w14:paraId="156E06ED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58-HC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 Quy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ết định 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áp d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ụng biện ph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áp kh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ẩn cấp tạm thời (d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ành cho 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ội đồng x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ét x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ử sơ thẩm v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à 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ội đồng x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ét x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ử ph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úc th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ẩm)</w:t>
      </w:r>
    </w:p>
    <w:p w14:paraId="390C675F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59-HC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 Quy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ết định thay đổi biện ph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áp kh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ẩn cấp tạm thời (d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ành cho Th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ẩm ph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án)</w:t>
      </w:r>
    </w:p>
    <w:p w14:paraId="2BE686F9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60-HC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 Quy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ết định thay đổi biện ph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áp kh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ẩn cấp tạm thời (d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ành cho 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ội đồng x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ét x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ử sơ thẩm v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à 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ội đồng x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ét x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ử ph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úc th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ẩm)</w:t>
      </w:r>
    </w:p>
    <w:p w14:paraId="45D4C1AB" w14:textId="77777777" w:rsidR="00D6300C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61-HC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 Quy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ết định hủy bỏ biện ph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áp kh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ẩn cấp tạm thời (d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ành cho Th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ẩm ph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án)</w:t>
      </w:r>
    </w:p>
    <w:p w14:paraId="08FAB6E6" w14:textId="13459192" w:rsidR="00D65C6B" w:rsidRPr="00D6300C" w:rsidRDefault="00D6300C" w:rsidP="00D6300C">
      <w:pPr>
        <w:shd w:val="clear" w:color="auto" w:fill="FFFFFF"/>
        <w:spacing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6300C">
        <w:rPr>
          <w:rFonts w:ascii="Arial" w:eastAsia="Times New Roman" w:hAnsi="Arial" w:cs="Arial"/>
          <w:color w:val="000000"/>
          <w:sz w:val="18"/>
          <w:szCs w:val="18"/>
          <w:lang w:val="en"/>
        </w:rPr>
        <w:t>M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ẫu số 62-HC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 Quy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ết định hủy bỏ biện ph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áp kh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ẩn cấp tạm thời (d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ành cho 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ội đồng x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ét x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ử sơ thẩm v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à 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ội đồng x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ét x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ử ph</w:t>
      </w:r>
      <w:r w:rsidRPr="00D6300C">
        <w:rPr>
          <w:rFonts w:ascii="Arial" w:eastAsia="Times New Roman" w:hAnsi="Arial" w:cs="Arial"/>
          <w:color w:val="000000"/>
          <w:sz w:val="18"/>
          <w:szCs w:val="18"/>
        </w:rPr>
        <w:t>úc th</w:t>
      </w:r>
      <w:r w:rsidRPr="00D6300C">
        <w:rPr>
          <w:rFonts w:ascii="Arial" w:eastAsia="Times New Roman" w:hAnsi="Arial" w:cs="Arial"/>
          <w:color w:val="000000"/>
          <w:sz w:val="18"/>
          <w:szCs w:val="18"/>
          <w:lang w:val="vi-VN"/>
        </w:rPr>
        <w:t>ẩm)</w:t>
      </w:r>
      <w:bookmarkStart w:id="0" w:name="_GoBack"/>
      <w:bookmarkEnd w:id="0"/>
    </w:p>
    <w:sectPr w:rsidR="00D65C6B" w:rsidRPr="00D63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0C"/>
    <w:rsid w:val="00D6300C"/>
    <w:rsid w:val="00D65C6B"/>
    <w:rsid w:val="00E1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C4416"/>
  <w15:chartTrackingRefBased/>
  <w15:docId w15:val="{41ECEF25-31BF-41B2-B048-B2891411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2018-04-22T16:26:00Z</dcterms:created>
  <dcterms:modified xsi:type="dcterms:W3CDTF">2018-04-22T16:27:00Z</dcterms:modified>
</cp:coreProperties>
</file>