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9A" w:rsidRPr="00CE069A" w:rsidRDefault="00CE069A" w:rsidP="00CE069A">
      <w:pPr>
        <w:pStyle w:val="NormalWeb"/>
        <w:shd w:val="clear" w:color="auto" w:fill="FFFFFF"/>
        <w:spacing w:before="0" w:beforeAutospacing="0" w:after="0" w:afterAutospacing="0" w:line="234" w:lineRule="atLeast"/>
        <w:jc w:val="center"/>
        <w:rPr>
          <w:color w:val="000000"/>
          <w:sz w:val="28"/>
          <w:szCs w:val="28"/>
        </w:rPr>
      </w:pPr>
      <w:bookmarkStart w:id="0" w:name="chuong_6"/>
      <w:r w:rsidRPr="00CE069A">
        <w:rPr>
          <w:b/>
          <w:bCs/>
          <w:color w:val="000000"/>
          <w:sz w:val="28"/>
          <w:szCs w:val="28"/>
          <w:lang w:val="vi-VN"/>
        </w:rPr>
        <w:t>Chương VI</w:t>
      </w:r>
      <w:bookmarkEnd w:id="0"/>
    </w:p>
    <w:p w:rsidR="00CE069A" w:rsidRPr="00CE069A" w:rsidRDefault="00CE069A" w:rsidP="00CE069A">
      <w:pPr>
        <w:pStyle w:val="NormalWeb"/>
        <w:shd w:val="clear" w:color="auto" w:fill="FFFFFF"/>
        <w:spacing w:before="0" w:beforeAutospacing="0" w:after="0" w:afterAutospacing="0" w:line="234" w:lineRule="atLeast"/>
        <w:jc w:val="center"/>
        <w:rPr>
          <w:color w:val="000000"/>
          <w:sz w:val="28"/>
          <w:szCs w:val="28"/>
        </w:rPr>
      </w:pPr>
      <w:bookmarkStart w:id="1" w:name="chuong_6_name"/>
      <w:r w:rsidRPr="00CE069A">
        <w:rPr>
          <w:b/>
          <w:bCs/>
          <w:color w:val="000000"/>
          <w:sz w:val="28"/>
          <w:szCs w:val="28"/>
          <w:lang w:val="vi-VN"/>
        </w:rPr>
        <w:t>CÔNG TY HỢP DANH</w:t>
      </w:r>
      <w:bookmarkEnd w:id="1"/>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2" w:name="dieu_172"/>
      <w:r w:rsidRPr="00CE069A">
        <w:rPr>
          <w:b/>
          <w:bCs/>
          <w:color w:val="000000"/>
          <w:sz w:val="28"/>
          <w:szCs w:val="28"/>
          <w:lang w:val="vi-VN"/>
        </w:rPr>
        <w:t>Điều 172. Công ty hợp danh</w:t>
      </w:r>
      <w:bookmarkEnd w:id="2"/>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Công ty hợp danh là doanh nghiệp, trong đó:</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Thành viên hợp danh phải là cá nhân, chịu trách nhiệm bằng toàn bộ tài sản của mình về các nghĩa vụ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Thành viên góp vốn chỉ chịu trách nhiệm về các khoản nợ của công ty </w:t>
      </w:r>
      <w:r w:rsidRPr="00CE069A">
        <w:rPr>
          <w:color w:val="000000"/>
          <w:sz w:val="28"/>
          <w:szCs w:val="28"/>
          <w:shd w:val="clear" w:color="auto" w:fill="FFFFFF"/>
          <w:lang w:val="vi-VN"/>
        </w:rPr>
        <w:t>trong</w:t>
      </w:r>
      <w:r w:rsidRPr="00CE069A">
        <w:rPr>
          <w:color w:val="000000"/>
          <w:sz w:val="28"/>
          <w:szCs w:val="28"/>
          <w:lang w:val="vi-VN"/>
        </w:rPr>
        <w:t> phạm vi số vốn đã góp vào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Công ty hợp danh có tư cách pháp nhân kể từ ngày được cấp Giấy chứng nhận đăng ký doanh nghiệp.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Công ty hợp danh không được phát hành bất kỳ loại chứng k</w:t>
      </w:r>
      <w:r w:rsidRPr="00CE069A">
        <w:rPr>
          <w:color w:val="000000"/>
          <w:sz w:val="28"/>
          <w:szCs w:val="28"/>
          <w:shd w:val="clear" w:color="auto" w:fill="FFFFFF"/>
          <w:lang w:val="vi-VN"/>
        </w:rPr>
        <w:t>hoán</w:t>
      </w:r>
      <w:r w:rsidRPr="00CE069A">
        <w:rPr>
          <w:color w:val="000000"/>
          <w:sz w:val="28"/>
          <w:szCs w:val="28"/>
          <w:lang w:val="vi-VN"/>
        </w:rPr>
        <w:t> nào.</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3" w:name="dieu_173"/>
      <w:r w:rsidRPr="00CE069A">
        <w:rPr>
          <w:b/>
          <w:bCs/>
          <w:color w:val="000000"/>
          <w:sz w:val="28"/>
          <w:szCs w:val="28"/>
          <w:lang w:val="vi-VN"/>
        </w:rPr>
        <w:t>Điều 173. Thực hiện góp vốn và cấp giấy chứng nhận phần vốn góp</w:t>
      </w:r>
      <w:bookmarkEnd w:id="3"/>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Thành viên hợp danh và thành viên góp vốn phải góp đủ và đúng hạn số vốn như đã cam kết.</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Thành viên hợp danh không góp đủ và đúng hạn số vốn đã cam kết gây thiệt hại cho công ty phải chịu trách nhiệm bồi thường thiệt hại cho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4. Tại </w:t>
      </w:r>
      <w:r w:rsidRPr="00CE069A">
        <w:rPr>
          <w:color w:val="000000"/>
          <w:sz w:val="28"/>
          <w:szCs w:val="28"/>
          <w:shd w:val="clear" w:color="auto" w:fill="FFFFFF"/>
          <w:lang w:val="vi-VN"/>
        </w:rPr>
        <w:t>thời điểm</w:t>
      </w:r>
      <w:r w:rsidRPr="00CE069A">
        <w:rPr>
          <w:color w:val="000000"/>
          <w:sz w:val="28"/>
          <w:szCs w:val="28"/>
          <w:lang w:val="vi-VN"/>
        </w:rPr>
        <w:t> góp đủ vốn như đã cam kết, thành viên được cấp giấy chứng nhận phần vốn góp. Giấy chứng nhận phần vốn góp phải có các nội dung chủ yếu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Tên, mã số doanh nghiệp, địa chỉ trụ sở chính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Vốn điều lệ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Tên, địa chỉ thường trú, quốc tịch, số Thẻ căn cước công dân, Giấy chứng minh nhân dân, Hộ chiếu hoặc chứng thực cá nhân hợp pháp khác của thành viên; loại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Giá trị phần vốn góp và loại tài sản góp vốn của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đ) Số và ngày cấp giấy chứng nhận phần vốn góp;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e) Quyền và nghĩa vụ của người sở hữu giấy chứng nhận phần vốn góp;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lastRenderedPageBreak/>
        <w:t>g) Họ, tên, chữ ký của người sở hữu giấy chứng nhận phần vốn góp và của các thành viên hợp danh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5. Trường hợp giấy chứng nhận phần vốn góp bị mất, bị hủy hoại, bị hư hỏng hoặc bị tiêu hủy dưới hình thức khác, thành viên được công ty cấp lại giấy chứng nhận phần vốn góp.</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4" w:name="dieu_174"/>
      <w:r w:rsidRPr="00CE069A">
        <w:rPr>
          <w:b/>
          <w:bCs/>
          <w:color w:val="000000"/>
          <w:sz w:val="28"/>
          <w:szCs w:val="28"/>
          <w:lang w:val="vi-VN"/>
        </w:rPr>
        <w:t>Điều 174. Tài sản của công ty hợp danh</w:t>
      </w:r>
      <w:bookmarkEnd w:id="4"/>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Tài sản của công ty hợp danh bao gồm:</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Tài sản góp vốn của các thành viên đã được chuyển quyền sở hữu cho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Tài sản tạo lập được mang tên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Tài sản thu được từ hoạt động kinh doanh do các thành viên hợp danh thực hiện nhân danh công ty và từ các hoạt động kinh doanh của công ty do các thành viên hợp danh nhân danh cá nhân thực hiện;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4. Các tài sản khác theo quy định của pháp luật.</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5" w:name="dieu_175"/>
      <w:r w:rsidRPr="00CE069A">
        <w:rPr>
          <w:b/>
          <w:bCs/>
          <w:color w:val="000000"/>
          <w:sz w:val="28"/>
          <w:szCs w:val="28"/>
          <w:lang w:val="vi-VN"/>
        </w:rPr>
        <w:t>Điều 175. Hạn chế quyền đối với thành viên hợp danh</w:t>
      </w:r>
      <w:bookmarkEnd w:id="5"/>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Thành viên hợp danh không được làm chủ doanh nghiệp tư nhân hoặc thành viên hợp danh của công ty hợp danh khác, trừ trường hợp được sự nhất trí của các thành viên hợp danh còn lại.</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Thành viên hợp danh không được quyền chuyển một phần hoặc toàn bộ phần vốn góp của mình tại công ty cho người khác nếu không được sự chấp thuận của các thành viên hợp danh còn lại.</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6" w:name="dieu_176"/>
      <w:r w:rsidRPr="00CE069A">
        <w:rPr>
          <w:b/>
          <w:bCs/>
          <w:color w:val="000000"/>
          <w:sz w:val="28"/>
          <w:szCs w:val="28"/>
          <w:lang w:val="vi-VN"/>
        </w:rPr>
        <w:t>Điều 176. Quyền và nghĩa vụ của thành viên hợp danh</w:t>
      </w:r>
      <w:bookmarkEnd w:id="6"/>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Thành viên hợp danh có các quyền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Tham gia họp, thảo luận và biểu quyết về các vấn đề của công ty; mỗi thành viên hợp danh có một phiếu biểu quyết hoặc có số phiếu biểu quyết khác quy định tại Điều lệ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Nhân danh công ty tiến hành hoạt động kinh doanh các ngành, nghề </w:t>
      </w:r>
      <w:r w:rsidRPr="00CE069A">
        <w:rPr>
          <w:color w:val="000000"/>
          <w:sz w:val="28"/>
          <w:szCs w:val="28"/>
          <w:shd w:val="clear" w:color="auto" w:fill="FFFFFF"/>
          <w:lang w:val="vi-VN"/>
        </w:rPr>
        <w:t>kinh</w:t>
      </w:r>
      <w:r w:rsidRPr="00CE069A">
        <w:rPr>
          <w:color w:val="000000"/>
          <w:sz w:val="28"/>
          <w:szCs w:val="28"/>
          <w:lang w:val="vi-VN"/>
        </w:rPr>
        <w:t> doanh của công ty; đàm phán và ký kết hợp đồng, thỏa thuận hoặc giao ước với những điều kiện mà thành viên hợp danh đó cho là có lợi nhất cho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Sử dụng con dấu, tài sản của công ty để hoạt động kinh doanh các ngành, nghề kinh doanh của công ty; trường hợp ứng trước tiền của mình để thực hiện công việc kinh doanh của công ty thì có quyền yêu cầu công ty hoàn trả lại cả số tiền gốc và lãi theo lãi suất thị trường trên số tiền gốc đã ứng trước;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lastRenderedPageBreak/>
        <w:t>d) Yêu cầu công ty bù đắp thiệt hại từ hoạt động kinh doanh trong thẩm quyền nếu thiệt hại đó xảy ra không phải do sai sót cá nhân của chính thành viên đó;</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đ) Yêu cầu công ty, thành viên hợp danh khác cung cấp thông tin về tình hình kinh doanh của công ty; kiểm tra tài sản, sổ kế toán và các tài liệu khác của công ty khi xét thấy cần thiết;</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e) Được chia lợi nhuận tương ứng với tỷ lệ vốn góp hoặc theo thỏa thuận quy định tại Điều lệ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g) Khi công ty giải thể hoặc phá sản, được chia một phần giá trị tài sản còn lại tương ứng theo tỷ lệ phần vốn góp vào công ty nếu Điều lệ công ty không quy định một tỷ lệ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h) Trường hợp thành viên hợp danh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i) Các quyền khác theo quy định của Luật này và Điều lệ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Thành viên hợp danh có các nghĩa vụ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Tiến hành quản lý và thực hiện công việc kinh doanh một cách trung thực, cẩn trọng và tốt nhất bảo đảm lợi ích hợp pháp tối đa cho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Tiến hành quản lý và hoạt động kinh doanh của công ty theo đúng quy định của pháp luật, Điều lệ công ty và nghị quyết của Hội đồng thành viên; nếu làm trái quy định tại điểm này, gây thiệt hại cho công ty thì phải chịu trách nhiệm bồi thường thiệt hại;</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Không được sử dụng tài sản của công ty để tư lợi hoặc phục vụ lợi ích của tổ chức, cá nhân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Hoàn trả cho công ty số tiền, tài sản đã nhận và bồi thường thiệt hại gây ra đối với công ty </w:t>
      </w:r>
      <w:r w:rsidRPr="00CE069A">
        <w:rPr>
          <w:color w:val="000000"/>
          <w:sz w:val="28"/>
          <w:szCs w:val="28"/>
          <w:shd w:val="clear" w:color="auto" w:fill="FFFFFF"/>
          <w:lang w:val="vi-VN"/>
        </w:rPr>
        <w:t>trong</w:t>
      </w:r>
      <w:r w:rsidRPr="00CE069A">
        <w:rPr>
          <w:color w:val="000000"/>
          <w:sz w:val="28"/>
          <w:szCs w:val="28"/>
          <w:lang w:val="vi-VN"/>
        </w:rPr>
        <w:t>trường hợp nhân danh công ty, nhân danh cá nhân hoặc nhân danh người khác để nhận tiền hoặc tài sản khác từ hoạt động kinh doanh của công ty mà không đem nộp cho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đ) Liên đới chịu trách nhiệm thanh toán hết số nợ còn lại của công ty nếu tài sản của công ty không đủ để trang trải số nợ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e) Chịu lỗ tương ứng </w:t>
      </w:r>
      <w:r w:rsidRPr="00CE069A">
        <w:rPr>
          <w:color w:val="000000"/>
          <w:sz w:val="28"/>
          <w:szCs w:val="28"/>
          <w:shd w:val="clear" w:color="auto" w:fill="FFFFFF"/>
          <w:lang w:val="vi-VN"/>
        </w:rPr>
        <w:t>với</w:t>
      </w:r>
      <w:r w:rsidRPr="00CE069A">
        <w:rPr>
          <w:color w:val="000000"/>
          <w:sz w:val="28"/>
          <w:szCs w:val="28"/>
          <w:lang w:val="vi-VN"/>
        </w:rPr>
        <w:t> phần vốn góp vào công ty hoặc theo thỏa thuận quy định tại Điều lệ công ty </w:t>
      </w:r>
      <w:r w:rsidRPr="00CE069A">
        <w:rPr>
          <w:color w:val="000000"/>
          <w:sz w:val="28"/>
          <w:szCs w:val="28"/>
          <w:shd w:val="clear" w:color="auto" w:fill="FFFFFF"/>
          <w:lang w:val="vi-VN"/>
        </w:rPr>
        <w:t>trong</w:t>
      </w:r>
      <w:r w:rsidRPr="00CE069A">
        <w:rPr>
          <w:color w:val="000000"/>
          <w:sz w:val="28"/>
          <w:szCs w:val="28"/>
          <w:lang w:val="vi-VN"/>
        </w:rPr>
        <w:t> trường hợp công ty kinh doanh bị lỗ;</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g) Định kỳ hằng tháng báo cáo trung thực, chính xác bằng văn bản tình hình và kết quả kinh doanh của mình </w:t>
      </w:r>
      <w:r w:rsidRPr="00CE069A">
        <w:rPr>
          <w:color w:val="000000"/>
          <w:sz w:val="28"/>
          <w:szCs w:val="28"/>
          <w:shd w:val="clear" w:color="auto" w:fill="FFFFFF"/>
          <w:lang w:val="vi-VN"/>
        </w:rPr>
        <w:t>với</w:t>
      </w:r>
      <w:r w:rsidRPr="00CE069A">
        <w:rPr>
          <w:color w:val="000000"/>
          <w:sz w:val="28"/>
          <w:szCs w:val="28"/>
          <w:lang w:val="vi-VN"/>
        </w:rPr>
        <w:t> công ty; cung cấp thông tin về tình hình và kết quả kinh doanh của mình cho thành viên có yêu cầu;</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lastRenderedPageBreak/>
        <w:t>h) Các ngh</w:t>
      </w:r>
      <w:bookmarkStart w:id="7" w:name="_GoBack"/>
      <w:bookmarkEnd w:id="7"/>
      <w:r w:rsidRPr="00CE069A">
        <w:rPr>
          <w:color w:val="000000"/>
          <w:sz w:val="28"/>
          <w:szCs w:val="28"/>
          <w:lang w:val="vi-VN"/>
        </w:rPr>
        <w:t>ĩa vụ khác theo quy định của Luật này và Điều lệ công ty.</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8" w:name="dieu_177"/>
      <w:r w:rsidRPr="00CE069A">
        <w:rPr>
          <w:b/>
          <w:bCs/>
          <w:color w:val="000000"/>
          <w:sz w:val="28"/>
          <w:szCs w:val="28"/>
          <w:lang w:val="vi-VN"/>
        </w:rPr>
        <w:t>Điều 177. Hội đồng thành viên</w:t>
      </w:r>
      <w:bookmarkEnd w:id="8"/>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rPr>
        <w:t>a) Phương hướng phát triển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Sửa đổi, bổ sung Điều lệ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Tiếp nhận thêm thành viên hợp danh mới;</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Chấp nhận thành viên hợp danh rút khỏi công ty hoặc quyết định khai trừ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đ) Quyết định dự án đầu tư;</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e) Quyết định việc vay và huy động vốn dưới hình thức khác, cho vay với giá trị bằng hoặc lớn hơn 50% vốn điều lệ của công ty, trừ trường hợp Điều lệ công ty quy định một tỷ lệ khác cao hơn;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g) Quyết định mua, bán tài sản có giá trị bằng hoặc lớn hơn vốn điều lệ của công ty, trừ trường hợp Điều lệ công ty quy định một tỷ lệ khác cao hơn;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h) Quyết định thông qua báo cáo tài chính hằng năm, tổng số lợi nhuận, được chia và số lợi nhuận chia cho từng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i) Quyết định giải thể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4. Quyết định về các vấn đề khác không quy định tại khoản 3 Điều này được thông qua nếu được ít nhất hai phần ba tổng số thành viên hợp danh tán thành; tỷ lệ cụ thể do Điều lệ công ty quy định.</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5. Quyền tham gia biểu quyết của thành viên góp vốn được thực hiện theo quy định của Luật này và Điều lệ công ty.</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9" w:name="dieu_178"/>
      <w:r w:rsidRPr="00CE069A">
        <w:rPr>
          <w:b/>
          <w:bCs/>
          <w:color w:val="000000"/>
          <w:sz w:val="28"/>
          <w:szCs w:val="28"/>
          <w:lang w:val="vi-VN"/>
        </w:rPr>
        <w:t>Điều 178. Triệu tập họp Hội đồng thành viên</w:t>
      </w:r>
      <w:bookmarkEnd w:id="9"/>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Chủ tịch Hội đồng thành viên có thể triệu </w:t>
      </w:r>
      <w:r w:rsidRPr="00CE069A">
        <w:rPr>
          <w:color w:val="000000"/>
          <w:sz w:val="28"/>
          <w:szCs w:val="28"/>
          <w:shd w:val="clear" w:color="auto" w:fill="FFFFFF"/>
          <w:lang w:val="vi-VN"/>
        </w:rPr>
        <w:t>tập họp</w:t>
      </w:r>
      <w:r w:rsidRPr="00CE069A">
        <w:rPr>
          <w:color w:val="000000"/>
          <w:sz w:val="28"/>
          <w:szCs w:val="28"/>
          <w:lang w:val="vi-VN"/>
        </w:rPr>
        <w:t xml:space="preserve"> Hội đồng thành viên khi xét thấy cần thiết hoặc theo yêu cầu của thành viên hợp danh. Trường hợp Chủ tịch </w:t>
      </w:r>
      <w:r w:rsidRPr="00CE069A">
        <w:rPr>
          <w:color w:val="000000"/>
          <w:sz w:val="28"/>
          <w:szCs w:val="28"/>
          <w:lang w:val="vi-VN"/>
        </w:rPr>
        <w:lastRenderedPageBreak/>
        <w:t>Hội đồng thành viên không triệu </w:t>
      </w:r>
      <w:r w:rsidRPr="00CE069A">
        <w:rPr>
          <w:color w:val="000000"/>
          <w:sz w:val="28"/>
          <w:szCs w:val="28"/>
          <w:shd w:val="clear" w:color="auto" w:fill="FFFFFF"/>
          <w:lang w:val="vi-VN"/>
        </w:rPr>
        <w:t>tập họp</w:t>
      </w:r>
      <w:r w:rsidRPr="00CE069A">
        <w:rPr>
          <w:color w:val="000000"/>
          <w:sz w:val="28"/>
          <w:szCs w:val="28"/>
          <w:lang w:val="vi-VN"/>
        </w:rPr>
        <w:t> theo yêu cầu của thành viên hợp danh thì thành viên đó triệu </w:t>
      </w:r>
      <w:r w:rsidRPr="00CE069A">
        <w:rPr>
          <w:color w:val="000000"/>
          <w:sz w:val="28"/>
          <w:szCs w:val="28"/>
          <w:shd w:val="clear" w:color="auto" w:fill="FFFFFF"/>
          <w:lang w:val="vi-VN"/>
        </w:rPr>
        <w:t>tập họp</w:t>
      </w:r>
      <w:r w:rsidRPr="00CE069A">
        <w:rPr>
          <w:color w:val="000000"/>
          <w:sz w:val="28"/>
          <w:szCs w:val="28"/>
          <w:lang w:val="vi-VN"/>
        </w:rPr>
        <w:t> Hội đồng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Thông báo mời họp có thể bằng giấy mời, điện thoại, fax hoặc phương tiện điện tử khác. Thông báo mời họp phải nêu rõ mục đích, yêu cầu và nội dung họp, chương trình và địa điểm họp, tên thành viên yêu cầu triệu tập họp.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Các tài liệu thảo luận được sử dụng để quyết định các vấn đề quy định tại khoản 3 Điều 177 của Luật này phải được gửi trước đến tất cả thành viên; thời hạn gửi trước do Điều lệ công ty quy định.</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Chủ tịch Hội đồng thành viên hoặc thành viên yêu cầu triệu tập họp chủ tọa cuộc họp. Cuộc họp của Hội đồng thành viên phải được ghi biên bản của công ty. Nội dung biên bản phải có các nội dung chủ yếu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Tên, mã số doanh nghiệp, địa chỉ trụ sở chính;</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Mục đích, chương trình và nội dung họp;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Thời gian, địa điểm họp;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Họ, tên chủ tọa, thành viên dự họp;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đ) Các ý kiến của thành viên dự họp;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e) Các nghị quyết được thông qua, số thành viên tán thành và nội dung cơ bản của các nghị quyết đó;</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g) Họ, tên, chữ ký của các thành viên dự họp.</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10" w:name="dieu_179"/>
      <w:r w:rsidRPr="00CE069A">
        <w:rPr>
          <w:b/>
          <w:bCs/>
          <w:color w:val="000000"/>
          <w:sz w:val="28"/>
          <w:szCs w:val="28"/>
          <w:lang w:val="vi-VN"/>
        </w:rPr>
        <w:t>Điều 179. Điều hành kinh doanh của công ty hợp danh</w:t>
      </w:r>
      <w:bookmarkEnd w:id="10"/>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Các thành viên hợp danh có quyền đại diện theo pháp luật và tổ chức </w:t>
      </w:r>
      <w:r w:rsidRPr="00CE069A">
        <w:rPr>
          <w:color w:val="000000"/>
          <w:sz w:val="28"/>
          <w:szCs w:val="28"/>
          <w:shd w:val="clear" w:color="auto" w:fill="FFFFFF"/>
          <w:lang w:val="vi-VN"/>
        </w:rPr>
        <w:t>điều</w:t>
      </w:r>
      <w:r w:rsidRPr="00CE069A">
        <w:rPr>
          <w:color w:val="000000"/>
          <w:sz w:val="28"/>
          <w:szCs w:val="28"/>
          <w:lang w:val="vi-VN"/>
        </w:rPr>
        <w:t> hành hoạt động kinh doanh hằng ngày của công ty. Mọi hạn chế đối </w:t>
      </w:r>
      <w:r w:rsidRPr="00CE069A">
        <w:rPr>
          <w:color w:val="000000"/>
          <w:sz w:val="28"/>
          <w:szCs w:val="28"/>
          <w:shd w:val="clear" w:color="auto" w:fill="FFFFFF"/>
          <w:lang w:val="vi-VN"/>
        </w:rPr>
        <w:t>với</w:t>
      </w:r>
      <w:r w:rsidRPr="00CE069A">
        <w:rPr>
          <w:color w:val="000000"/>
          <w:sz w:val="28"/>
          <w:szCs w:val="28"/>
          <w:lang w:val="vi-VN"/>
        </w:rPr>
        <w:t> thành viên hợp danh trong thực hiện công việc kinh doanh hằng ngày của công ty chỉ có hiệu lực đối với bên thứ ba khi người đó được biết về hạn chế đó.</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Trong điều hành hoạt động kinh doanh của công ty, thành viên hợp danh phân công nhau đảm nhiệm các chức danh quản lý và kiểm soát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Khi một số hoặc tất cả thành viên hợp danh cùng thực hiện một số công việc kinh doanh thì quyết định được thông qua theo nguyên tắc đa số.</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Hoạt động do thành viên hợp danh thực hiện ngoài phạm vi hoạt động kinh doanh của công ty đều không thuộc trách nhiệm của công ty, trừ </w:t>
      </w:r>
      <w:r w:rsidRPr="00CE069A">
        <w:rPr>
          <w:color w:val="000000"/>
          <w:sz w:val="28"/>
          <w:szCs w:val="28"/>
          <w:shd w:val="clear" w:color="auto" w:fill="FFFFFF"/>
          <w:lang w:val="vi-VN"/>
        </w:rPr>
        <w:t>trường hợp</w:t>
      </w:r>
      <w:r w:rsidRPr="00CE069A">
        <w:rPr>
          <w:color w:val="000000"/>
          <w:sz w:val="28"/>
          <w:szCs w:val="28"/>
          <w:lang w:val="vi-VN"/>
        </w:rPr>
        <w:t> hoạt động đó đã được các thành viên còn lại chấp thuận.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Công ty có thể mở một hoặc một số tài khoản tại ngân hàng. Hội đồng thành viên chỉ định thành viên được ủy quyền gửi và rút tiền từ các tài khoản đó.</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lastRenderedPageBreak/>
        <w:t>4. Chủ tịch Hội đồng thành viên, Giám đốc hoặc Tổng giám đốc có các nhiệm vụ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Quản lý và </w:t>
      </w:r>
      <w:r w:rsidRPr="00CE069A">
        <w:rPr>
          <w:color w:val="000000"/>
          <w:sz w:val="28"/>
          <w:szCs w:val="28"/>
          <w:shd w:val="clear" w:color="auto" w:fill="FFFFFF"/>
          <w:lang w:val="vi-VN"/>
        </w:rPr>
        <w:t>điều</w:t>
      </w:r>
      <w:r w:rsidRPr="00CE069A">
        <w:rPr>
          <w:color w:val="000000"/>
          <w:sz w:val="28"/>
          <w:szCs w:val="28"/>
          <w:lang w:val="vi-VN"/>
        </w:rPr>
        <w:t> hành công việc kinh doanh hằng ngày của công ty với tư cách là thành viên hợp danh;</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Triệu tập và tổ chức họp Hội đồng thành viên; ký các nghị quyết của Hội đồng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Phân công, phối hợp công việc </w:t>
      </w:r>
      <w:r w:rsidRPr="00CE069A">
        <w:rPr>
          <w:color w:val="000000"/>
          <w:sz w:val="28"/>
          <w:szCs w:val="28"/>
          <w:shd w:val="clear" w:color="auto" w:fill="FFFFFF"/>
          <w:lang w:val="vi-VN"/>
        </w:rPr>
        <w:t>kinh</w:t>
      </w:r>
      <w:r w:rsidRPr="00CE069A">
        <w:rPr>
          <w:color w:val="000000"/>
          <w:sz w:val="28"/>
          <w:szCs w:val="28"/>
          <w:lang w:val="vi-VN"/>
        </w:rPr>
        <w:t> doanh giữa các thành viên hợp danh;</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Tổ chức sắp xếp, lưu giữ đầy đủ và trung thực sổ kế toán, hóa đơn, chứng từ và các tài liệu khác của công ty theo quy định của pháp luật;</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đ) Đại diện cho công ty trong quan hệ với cơ quan nhà nước; đại diện cho công ty với tư cách là bị đơn hoặc nguyên đơn </w:t>
      </w:r>
      <w:r w:rsidRPr="00CE069A">
        <w:rPr>
          <w:color w:val="000000"/>
          <w:sz w:val="28"/>
          <w:szCs w:val="28"/>
          <w:shd w:val="clear" w:color="auto" w:fill="FFFFFF"/>
          <w:lang w:val="vi-VN"/>
        </w:rPr>
        <w:t>trong</w:t>
      </w:r>
      <w:r w:rsidRPr="00CE069A">
        <w:rPr>
          <w:color w:val="000000"/>
          <w:sz w:val="28"/>
          <w:szCs w:val="28"/>
          <w:lang w:val="vi-VN"/>
        </w:rPr>
        <w:t> các vụ kiện, tranh chấp thương mại hoặc các tranh chấp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e) Các nghĩa vụ khác do Điều lệ công ty quy định.</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11" w:name="dieu_180"/>
      <w:r w:rsidRPr="00CE069A">
        <w:rPr>
          <w:b/>
          <w:bCs/>
          <w:color w:val="000000"/>
          <w:sz w:val="28"/>
          <w:szCs w:val="28"/>
          <w:lang w:val="vi-VN"/>
        </w:rPr>
        <w:t>Điều 180. Chấm dứt tư cách thành viên hợp danh</w:t>
      </w:r>
      <w:bookmarkEnd w:id="11"/>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Tư cách thành viên hợp danh chấm dứt trong các trường hợp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Tự nguyện rút vốn khỏi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Đã chết, bị Tòa án tuyên bố là mất tích, hạn chế năng lực hành vi dân sự hoặc mất năng lực hành vi dân sự;</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Bị khai trừ khỏi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Các trường hợp khác do Điều lệ công ty quy định.</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Thành viên hợp danh có quyền rút vốn khỏi công ty nếu được Hội đồng thành viên chấp thuận. Trường hợp này, thành viên muốn rút vốn khỏi công ty phải thông báo bằng văn bản yêu cầu rút vốn chậm nhất 06 tháng trước ngày rút vốn; chỉ được rút vốn vào </w:t>
      </w:r>
      <w:r w:rsidRPr="00CE069A">
        <w:rPr>
          <w:color w:val="000000"/>
          <w:sz w:val="28"/>
          <w:szCs w:val="28"/>
          <w:shd w:val="clear" w:color="auto" w:fill="FFFFFF"/>
          <w:lang w:val="vi-VN"/>
        </w:rPr>
        <w:t>thời điểm</w:t>
      </w:r>
      <w:r w:rsidRPr="00CE069A">
        <w:rPr>
          <w:color w:val="000000"/>
          <w:sz w:val="28"/>
          <w:szCs w:val="28"/>
          <w:lang w:val="vi-VN"/>
        </w:rPr>
        <w:t> kết thúc năm tài chính và báo cáo tài chính của năm tài chính đó đã được thông qua.</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Thành viên hợp danh bị khai trừ khỏi công ty trong các trường hợp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Không có khả năng góp vốn hoặc không góp vốn như đã cam kết sau khi công ty đã có yêu cầu lần thứ hai;</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Vi phạm quy định tại Điều 175 của Luật này;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Tiến hành công </w:t>
      </w:r>
      <w:r w:rsidRPr="00CE069A">
        <w:rPr>
          <w:color w:val="000000"/>
          <w:sz w:val="28"/>
          <w:szCs w:val="28"/>
          <w:shd w:val="clear" w:color="auto" w:fill="FFFFFF"/>
          <w:lang w:val="vi-VN"/>
        </w:rPr>
        <w:t>việc</w:t>
      </w:r>
      <w:r w:rsidRPr="00CE069A">
        <w:rPr>
          <w:color w:val="000000"/>
          <w:sz w:val="28"/>
          <w:szCs w:val="28"/>
          <w:lang w:val="vi-VN"/>
        </w:rPr>
        <w:t> kinh doanh không trung thực, không cẩn trọng hoặc có hành vi không thích hợp khác gây thiệt hại nghiêm trọng đến lợi ích của công ty và các thành viên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Không thực hiện đúng các nghĩa vụ của thành viên hợp danh.</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shd w:val="clear" w:color="auto" w:fill="FFFFFF"/>
          <w:lang w:val="vi-VN"/>
        </w:rPr>
        <w:lastRenderedPageBreak/>
        <w:t>4. Trường hợp</w:t>
      </w:r>
      <w:r w:rsidRPr="00CE069A">
        <w:rPr>
          <w:color w:val="000000"/>
          <w:sz w:val="28"/>
          <w:szCs w:val="28"/>
          <w:lang w:val="vi-VN"/>
        </w:rPr>
        <w:t> chấm dứt tư cách thành viên của thành viên bị hạn chế hoặc bị mất năng lực hành vi dân sự thì phần vốn góp của thành viên đó được hoàn trả công bằng và thỏa đáng.</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5. Trong thời hạn 02 năm, kể từ ngày chấm dứt tư cách thành viên hợp danh theo quy định tại điểm a và điểm c khoản 1 Điều này thì người đó vẫn phải liên đới chịu trách nhiệm bằng toàn bộ tài sản của mình đối với các khoản nợ của công ty đã phát sinh trước ngày chấm dứt tư cách thành viên.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12" w:name="dieu_181"/>
      <w:r w:rsidRPr="00CE069A">
        <w:rPr>
          <w:b/>
          <w:bCs/>
          <w:color w:val="000000"/>
          <w:sz w:val="28"/>
          <w:szCs w:val="28"/>
          <w:lang w:val="vi-VN"/>
        </w:rPr>
        <w:t>Điều 181. Tiếp nhận thành viên mới</w:t>
      </w:r>
      <w:bookmarkEnd w:id="12"/>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Công ty có thể tiếp nhận thêm thành viên hợp danh hoặc thành viên góp vốn; việc tiếp nhận thành viên mới của công ty phải được Hội đồng thành viên chấp thuận.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CE069A" w:rsidRPr="00CE069A" w:rsidRDefault="00CE069A" w:rsidP="00CE069A">
      <w:pPr>
        <w:pStyle w:val="NormalWeb"/>
        <w:shd w:val="clear" w:color="auto" w:fill="FFFFFF"/>
        <w:spacing w:before="0" w:beforeAutospacing="0" w:after="0" w:afterAutospacing="0" w:line="234" w:lineRule="atLeast"/>
        <w:rPr>
          <w:color w:val="000000"/>
          <w:sz w:val="28"/>
          <w:szCs w:val="28"/>
        </w:rPr>
      </w:pPr>
      <w:bookmarkStart w:id="13" w:name="dieu_182"/>
      <w:r w:rsidRPr="00CE069A">
        <w:rPr>
          <w:b/>
          <w:bCs/>
          <w:color w:val="000000"/>
          <w:sz w:val="28"/>
          <w:szCs w:val="28"/>
          <w:lang w:val="vi-VN"/>
        </w:rPr>
        <w:t>Điều 182. Quyền và nghĩa vụ của thành viên góp vốn</w:t>
      </w:r>
      <w:bookmarkEnd w:id="13"/>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1. Thành viên góp vốn có các quyền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Được chia lợi nhuận hằng năm tương ứng </w:t>
      </w:r>
      <w:r w:rsidRPr="00CE069A">
        <w:rPr>
          <w:color w:val="000000"/>
          <w:sz w:val="28"/>
          <w:szCs w:val="28"/>
          <w:shd w:val="clear" w:color="auto" w:fill="FFFFFF"/>
          <w:lang w:val="vi-VN"/>
        </w:rPr>
        <w:t>với</w:t>
      </w:r>
      <w:r w:rsidRPr="00CE069A">
        <w:rPr>
          <w:color w:val="000000"/>
          <w:sz w:val="28"/>
          <w:szCs w:val="28"/>
          <w:lang w:val="vi-VN"/>
        </w:rPr>
        <w:t> tỷ lệ vốn góp trong vốn điều lệ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biên bản, hợp đồng, giao dịch, hồ sơ và tài liệu khác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Chuyển nhượng phần vốn góp của mình tại công ty cho người khác;</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đ) Nhân danh cá nhân hoặc nhân danh người khác tiến hành kinh doanh các ngành, nghề kinh doanh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lastRenderedPageBreak/>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g) Được chia một phần giá trị tài sản còn lại </w:t>
      </w:r>
      <w:r w:rsidRPr="00CE069A">
        <w:rPr>
          <w:color w:val="000000"/>
          <w:sz w:val="28"/>
          <w:szCs w:val="28"/>
          <w:shd w:val="clear" w:color="auto" w:fill="FFFFFF"/>
          <w:lang w:val="vi-VN"/>
        </w:rPr>
        <w:t>của</w:t>
      </w:r>
      <w:r w:rsidRPr="00CE069A">
        <w:rPr>
          <w:color w:val="000000"/>
          <w:sz w:val="28"/>
          <w:szCs w:val="28"/>
          <w:lang w:val="vi-VN"/>
        </w:rPr>
        <w:t> công ty tương ứng với tỷ lệ vốn góp trong vốn điều lệ công ty khi công ty giải thể hoặc phá sản;</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h) Các quyền khác theo quy định của Luật này và Điều lệ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2. Thành viên góp vốn có các nghĩa vụ sau đây: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a) Chịu trách nhiệm về các khoản nợ và nghĩa vụ tài sản khác của công ty trong phạm vi số vốn đã cam kết góp;</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b) Không được tham gia quản lý công ty, không được tiến hành công việc kinh doanh nhân danh công ty;</w:t>
      </w:r>
    </w:p>
    <w:p w:rsidR="00CE069A"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c) Tuân thủ Điều lệ, nội quy công ty và quyết định của Hội đồng thành viên;</w:t>
      </w:r>
    </w:p>
    <w:p w:rsidR="00307AC9" w:rsidRPr="00CE069A" w:rsidRDefault="00CE069A" w:rsidP="00CE069A">
      <w:pPr>
        <w:pStyle w:val="NormalWeb"/>
        <w:shd w:val="clear" w:color="auto" w:fill="FFFFFF"/>
        <w:spacing w:before="120" w:beforeAutospacing="0" w:after="0" w:afterAutospacing="0" w:line="234" w:lineRule="atLeast"/>
        <w:rPr>
          <w:color w:val="000000"/>
          <w:sz w:val="28"/>
          <w:szCs w:val="28"/>
        </w:rPr>
      </w:pPr>
      <w:r w:rsidRPr="00CE069A">
        <w:rPr>
          <w:color w:val="000000"/>
          <w:sz w:val="28"/>
          <w:szCs w:val="28"/>
          <w:lang w:val="vi-VN"/>
        </w:rPr>
        <w:t>d) Các nghĩa vụ khác theo quy định của Luật này và Điều lệ công ty.</w:t>
      </w:r>
    </w:p>
    <w:sectPr w:rsidR="00307AC9" w:rsidRPr="00CE06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B1"/>
    <w:rsid w:val="002909B1"/>
    <w:rsid w:val="00307AC9"/>
    <w:rsid w:val="003E637F"/>
    <w:rsid w:val="004554D1"/>
    <w:rsid w:val="008C00A9"/>
    <w:rsid w:val="00CE069A"/>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69A"/>
    <w:pPr>
      <w:spacing w:beforeAutospacing="1"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69A"/>
    <w:pPr>
      <w:spacing w:beforeAutospacing="1"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2315</Words>
  <Characters>13201</Characters>
  <Application>Microsoft Office Word</Application>
  <DocSecurity>0</DocSecurity>
  <Lines>110</Lines>
  <Paragraphs>30</Paragraphs>
  <ScaleCrop>false</ScaleCrop>
  <Company>Truong</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2</cp:revision>
  <dcterms:created xsi:type="dcterms:W3CDTF">2017-12-15T10:16:00Z</dcterms:created>
  <dcterms:modified xsi:type="dcterms:W3CDTF">2017-12-15T10:19:00Z</dcterms:modified>
</cp:coreProperties>
</file>